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E0B28" w14:textId="77777777" w:rsidR="00250878" w:rsidRDefault="00250878" w:rsidP="001607D0">
      <w:pPr>
        <w:rPr>
          <w:rFonts w:ascii="Arial" w:hAnsi="Arial"/>
          <w:b/>
          <w:color w:val="0000FF"/>
          <w:sz w:val="28"/>
        </w:rPr>
      </w:pPr>
    </w:p>
    <w:p w14:paraId="112EEAEE" w14:textId="77777777" w:rsidR="00250878" w:rsidRDefault="00250878" w:rsidP="001607D0">
      <w:pPr>
        <w:rPr>
          <w:rFonts w:ascii="Arial" w:hAnsi="Arial"/>
          <w:b/>
          <w:color w:val="0000FF"/>
          <w:sz w:val="28"/>
        </w:rPr>
      </w:pPr>
    </w:p>
    <w:p w14:paraId="4FF7676E" w14:textId="77777777" w:rsidR="00250878" w:rsidRDefault="00250878" w:rsidP="00CA4DAC">
      <w:pPr>
        <w:jc w:val="center"/>
        <w:rPr>
          <w:rFonts w:ascii="Arial" w:hAnsi="Arial"/>
          <w:b/>
          <w:color w:val="000000"/>
          <w:sz w:val="36"/>
          <w:u w:val="single"/>
        </w:rPr>
      </w:pPr>
    </w:p>
    <w:p w14:paraId="6147BEED" w14:textId="77777777" w:rsidR="00250878" w:rsidRDefault="00250878" w:rsidP="00CA4DAC">
      <w:pPr>
        <w:jc w:val="center"/>
        <w:rPr>
          <w:rFonts w:ascii="Arial" w:hAnsi="Arial"/>
          <w:b/>
          <w:color w:val="000000"/>
          <w:sz w:val="36"/>
          <w:u w:val="single"/>
        </w:rPr>
      </w:pPr>
      <w:r w:rsidRPr="00CA4DAC">
        <w:rPr>
          <w:rFonts w:ascii="Arial" w:hAnsi="Arial"/>
          <w:b/>
          <w:color w:val="000000"/>
          <w:sz w:val="36"/>
          <w:u w:val="single"/>
        </w:rPr>
        <w:t>Discussion Paper</w:t>
      </w:r>
    </w:p>
    <w:p w14:paraId="18746D61" w14:textId="77777777" w:rsidR="00250878" w:rsidRDefault="00250878" w:rsidP="00CA4DAC">
      <w:pPr>
        <w:jc w:val="center"/>
        <w:rPr>
          <w:rFonts w:ascii="Arial" w:hAnsi="Arial"/>
          <w:b/>
          <w:color w:val="000000"/>
          <w:sz w:val="36"/>
          <w:u w:val="single"/>
        </w:rPr>
      </w:pPr>
    </w:p>
    <w:p w14:paraId="4594EF90" w14:textId="77777777" w:rsidR="00250878" w:rsidRDefault="00250878" w:rsidP="00CA4DAC">
      <w:pPr>
        <w:jc w:val="center"/>
        <w:rPr>
          <w:rFonts w:ascii="Arial" w:hAnsi="Arial"/>
          <w:b/>
          <w:color w:val="000000"/>
          <w:sz w:val="36"/>
          <w:u w:val="single"/>
        </w:rPr>
      </w:pPr>
      <w:r>
        <w:rPr>
          <w:rFonts w:ascii="Arial" w:hAnsi="Arial"/>
          <w:b/>
          <w:color w:val="000000"/>
          <w:sz w:val="36"/>
          <w:u w:val="single"/>
        </w:rPr>
        <w:t>May 2015</w:t>
      </w:r>
    </w:p>
    <w:p w14:paraId="7DB75288" w14:textId="77777777" w:rsidR="00250878" w:rsidRDefault="00250878" w:rsidP="00CA4DAC">
      <w:pPr>
        <w:jc w:val="center"/>
        <w:rPr>
          <w:rFonts w:ascii="Arial" w:hAnsi="Arial"/>
          <w:b/>
          <w:color w:val="000000"/>
          <w:sz w:val="36"/>
          <w:u w:val="single"/>
        </w:rPr>
      </w:pPr>
    </w:p>
    <w:p w14:paraId="7CE628D5" w14:textId="77777777" w:rsidR="00250878" w:rsidRDefault="00250878" w:rsidP="001607D0">
      <w:pPr>
        <w:rPr>
          <w:rFonts w:ascii="Arial" w:hAnsi="Arial"/>
          <w:b/>
          <w:color w:val="FF0000"/>
          <w:sz w:val="36"/>
        </w:rPr>
      </w:pPr>
    </w:p>
    <w:p w14:paraId="24B97648" w14:textId="77777777" w:rsidR="00250878" w:rsidRPr="009920C2" w:rsidRDefault="00250878" w:rsidP="001607D0">
      <w:pPr>
        <w:rPr>
          <w:rFonts w:ascii="Arial" w:hAnsi="Arial"/>
          <w:b/>
          <w:color w:val="FF0000"/>
          <w:sz w:val="36"/>
        </w:rPr>
      </w:pPr>
    </w:p>
    <w:p w14:paraId="79FB6837" w14:textId="77777777" w:rsidR="00250878" w:rsidRPr="00D34618" w:rsidRDefault="00250878" w:rsidP="00327B9E">
      <w:pPr>
        <w:jc w:val="center"/>
        <w:rPr>
          <w:rFonts w:ascii="Arial" w:hAnsi="Arial"/>
          <w:b/>
          <w:color w:val="943634"/>
          <w:sz w:val="36"/>
        </w:rPr>
      </w:pPr>
      <w:r w:rsidRPr="00D34618">
        <w:rPr>
          <w:rFonts w:ascii="Arial" w:hAnsi="Arial"/>
          <w:b/>
          <w:color w:val="943634"/>
          <w:sz w:val="36"/>
        </w:rPr>
        <w:t>ILAG Workplace Benefits Group</w:t>
      </w:r>
    </w:p>
    <w:p w14:paraId="3CDA11CC" w14:textId="77777777" w:rsidR="00250878" w:rsidRPr="00D34618" w:rsidRDefault="00250878" w:rsidP="00327B9E">
      <w:pPr>
        <w:jc w:val="center"/>
        <w:rPr>
          <w:rFonts w:ascii="Arial" w:hAnsi="Arial"/>
          <w:b/>
          <w:color w:val="943634"/>
          <w:sz w:val="36"/>
        </w:rPr>
      </w:pPr>
    </w:p>
    <w:p w14:paraId="14E996DA" w14:textId="77777777" w:rsidR="00250878" w:rsidRDefault="00250878" w:rsidP="00327B9E">
      <w:pPr>
        <w:jc w:val="center"/>
        <w:rPr>
          <w:rFonts w:ascii="Arial" w:hAnsi="Arial"/>
          <w:b/>
          <w:color w:val="943634"/>
          <w:sz w:val="36"/>
        </w:rPr>
      </w:pPr>
    </w:p>
    <w:p w14:paraId="604CF792" w14:textId="77777777" w:rsidR="00250878" w:rsidRPr="00D34618" w:rsidRDefault="00250878" w:rsidP="00327B9E">
      <w:pPr>
        <w:jc w:val="center"/>
        <w:rPr>
          <w:rFonts w:ascii="Arial" w:hAnsi="Arial"/>
          <w:b/>
          <w:color w:val="943634"/>
          <w:sz w:val="36"/>
        </w:rPr>
      </w:pPr>
      <w:r w:rsidRPr="00D34618">
        <w:rPr>
          <w:rFonts w:ascii="Arial" w:hAnsi="Arial"/>
          <w:b/>
          <w:color w:val="943634"/>
          <w:sz w:val="36"/>
        </w:rPr>
        <w:t>Health and Wellbeing</w:t>
      </w:r>
    </w:p>
    <w:p w14:paraId="03C275BB" w14:textId="77777777" w:rsidR="00250878" w:rsidRDefault="00250878" w:rsidP="00327B9E">
      <w:pPr>
        <w:jc w:val="center"/>
        <w:rPr>
          <w:rFonts w:ascii="Arial" w:hAnsi="Arial"/>
          <w:b/>
          <w:color w:val="943634"/>
          <w:sz w:val="36"/>
        </w:rPr>
      </w:pPr>
    </w:p>
    <w:p w14:paraId="562B4AAB" w14:textId="77777777" w:rsidR="00250878" w:rsidRDefault="00250878" w:rsidP="00327B9E">
      <w:pPr>
        <w:jc w:val="center"/>
        <w:rPr>
          <w:rFonts w:ascii="Arial" w:hAnsi="Arial"/>
          <w:b/>
          <w:color w:val="943634"/>
          <w:sz w:val="36"/>
        </w:rPr>
      </w:pPr>
    </w:p>
    <w:p w14:paraId="55DC63C0" w14:textId="77777777" w:rsidR="00250878" w:rsidRPr="00D34618" w:rsidRDefault="00250878" w:rsidP="00327B9E">
      <w:pPr>
        <w:jc w:val="center"/>
        <w:rPr>
          <w:rFonts w:ascii="Arial" w:hAnsi="Arial"/>
          <w:b/>
          <w:color w:val="943634"/>
          <w:sz w:val="36"/>
        </w:rPr>
      </w:pPr>
      <w:r w:rsidRPr="00D34618">
        <w:rPr>
          <w:rFonts w:ascii="Arial" w:hAnsi="Arial"/>
          <w:b/>
          <w:color w:val="943634"/>
          <w:sz w:val="36"/>
        </w:rPr>
        <w:t>Is there a trend towards employers becoming ‘facilitators’ of benefits in the workplace rather than ‘funders’?</w:t>
      </w:r>
    </w:p>
    <w:p w14:paraId="02EBB098" w14:textId="77777777" w:rsidR="00250878" w:rsidRDefault="00250878" w:rsidP="00327B9E">
      <w:pPr>
        <w:jc w:val="center"/>
        <w:rPr>
          <w:rFonts w:ascii="Arial" w:hAnsi="Arial"/>
          <w:b/>
          <w:color w:val="D99594"/>
          <w:sz w:val="36"/>
        </w:rPr>
      </w:pPr>
    </w:p>
    <w:p w14:paraId="26E263A7" w14:textId="77777777" w:rsidR="00250878" w:rsidRDefault="00250878" w:rsidP="00327B9E">
      <w:pPr>
        <w:jc w:val="center"/>
        <w:rPr>
          <w:rFonts w:ascii="Arial" w:hAnsi="Arial"/>
          <w:b/>
          <w:color w:val="D99594"/>
          <w:sz w:val="36"/>
        </w:rPr>
      </w:pPr>
    </w:p>
    <w:p w14:paraId="5615CC7E" w14:textId="77777777" w:rsidR="00250878" w:rsidRDefault="00250878" w:rsidP="00327B9E">
      <w:pPr>
        <w:jc w:val="center"/>
        <w:rPr>
          <w:rFonts w:ascii="Arial" w:hAnsi="Arial"/>
          <w:b/>
          <w:color w:val="D99594"/>
          <w:sz w:val="36"/>
        </w:rPr>
      </w:pPr>
    </w:p>
    <w:p w14:paraId="1D52F1EA" w14:textId="77777777" w:rsidR="00250878" w:rsidRPr="00D34618" w:rsidRDefault="00250878" w:rsidP="00327B9E">
      <w:pPr>
        <w:jc w:val="center"/>
        <w:rPr>
          <w:rFonts w:ascii="Arial" w:hAnsi="Arial"/>
          <w:b/>
          <w:color w:val="D99594"/>
          <w:sz w:val="36"/>
        </w:rPr>
      </w:pPr>
    </w:p>
    <w:p w14:paraId="1DAD43C9" w14:textId="1B0E26BA" w:rsidR="001B2AEC" w:rsidRPr="00F75FAF" w:rsidRDefault="00250878" w:rsidP="001B2AEC">
      <w:pPr>
        <w:jc w:val="center"/>
        <w:rPr>
          <w:rFonts w:ascii="Arial" w:hAnsi="Arial"/>
          <w:b/>
          <w:color w:val="BFBFBF"/>
          <w:sz w:val="28"/>
        </w:rPr>
      </w:pPr>
      <w:r w:rsidRPr="00F75FAF">
        <w:rPr>
          <w:rFonts w:ascii="Arial" w:hAnsi="Arial"/>
          <w:b/>
          <w:color w:val="BFBFBF"/>
          <w:sz w:val="28"/>
        </w:rPr>
        <w:t>Author: John Gillman (Associate Member)</w:t>
      </w:r>
    </w:p>
    <w:p w14:paraId="26BCEFC5" w14:textId="08F06399" w:rsidR="00250878" w:rsidRPr="001B2AEC" w:rsidRDefault="001B2AEC" w:rsidP="001607D0">
      <w:pPr>
        <w:rPr>
          <w:rFonts w:ascii="Arial" w:hAnsi="Arial"/>
          <w:b/>
          <w:color w:val="D9D9D9" w:themeColor="background1" w:themeShade="D9"/>
          <w:sz w:val="36"/>
        </w:rPr>
      </w:pPr>
      <w:r>
        <w:rPr>
          <w:rFonts w:ascii="Arial" w:hAnsi="Arial"/>
          <w:b/>
          <w:color w:val="0000FF"/>
          <w:sz w:val="36"/>
        </w:rPr>
        <w:tab/>
        <w:t xml:space="preserve">      </w:t>
      </w:r>
    </w:p>
    <w:p w14:paraId="394710D7" w14:textId="77777777" w:rsidR="00250878" w:rsidRDefault="00250878" w:rsidP="001607D0">
      <w:pPr>
        <w:rPr>
          <w:rFonts w:ascii="Arial" w:hAnsi="Arial"/>
          <w:b/>
          <w:color w:val="0000FF"/>
          <w:sz w:val="28"/>
        </w:rPr>
      </w:pPr>
    </w:p>
    <w:p w14:paraId="765DCB63" w14:textId="77777777" w:rsidR="00250878" w:rsidRDefault="00250878" w:rsidP="001607D0">
      <w:pPr>
        <w:rPr>
          <w:rFonts w:ascii="Arial" w:hAnsi="Arial"/>
          <w:b/>
          <w:color w:val="0000FF"/>
          <w:sz w:val="28"/>
        </w:rPr>
      </w:pPr>
    </w:p>
    <w:p w14:paraId="07509984" w14:textId="77777777" w:rsidR="00250878" w:rsidRDefault="00250878" w:rsidP="001607D0">
      <w:pPr>
        <w:rPr>
          <w:rFonts w:ascii="Arial" w:hAnsi="Arial"/>
          <w:b/>
          <w:color w:val="0000FF"/>
          <w:sz w:val="28"/>
        </w:rPr>
      </w:pPr>
    </w:p>
    <w:p w14:paraId="3A1E1CDE" w14:textId="77777777" w:rsidR="00250878" w:rsidRDefault="00250878" w:rsidP="001607D0">
      <w:pPr>
        <w:rPr>
          <w:rFonts w:ascii="Arial" w:hAnsi="Arial"/>
          <w:b/>
          <w:color w:val="0000FF"/>
          <w:sz w:val="28"/>
        </w:rPr>
      </w:pPr>
    </w:p>
    <w:p w14:paraId="3046482A" w14:textId="77777777" w:rsidR="00250878" w:rsidRDefault="00250878" w:rsidP="001607D0">
      <w:pPr>
        <w:rPr>
          <w:rFonts w:ascii="Arial" w:hAnsi="Arial"/>
          <w:b/>
          <w:color w:val="0000FF"/>
          <w:sz w:val="28"/>
        </w:rPr>
      </w:pPr>
    </w:p>
    <w:p w14:paraId="134B5318" w14:textId="77777777" w:rsidR="00250878" w:rsidRDefault="00250878" w:rsidP="001607D0">
      <w:pPr>
        <w:rPr>
          <w:rFonts w:ascii="Arial" w:hAnsi="Arial"/>
          <w:b/>
          <w:color w:val="0000FF"/>
          <w:sz w:val="28"/>
        </w:rPr>
      </w:pPr>
    </w:p>
    <w:p w14:paraId="4BBF7F68" w14:textId="77777777" w:rsidR="00250878" w:rsidRDefault="00250878" w:rsidP="008B060C">
      <w:pPr>
        <w:rPr>
          <w:rFonts w:ascii="Arial" w:hAnsi="Arial"/>
          <w:b/>
          <w:color w:val="0000FF"/>
          <w:sz w:val="28"/>
        </w:rPr>
      </w:pPr>
      <w:r>
        <w:rPr>
          <w:rFonts w:ascii="Arial" w:hAnsi="Arial"/>
          <w:b/>
          <w:color w:val="0000FF"/>
          <w:sz w:val="28"/>
        </w:rPr>
        <w:t xml:space="preserve">  </w:t>
      </w:r>
      <w:r w:rsidR="00471AEA">
        <w:rPr>
          <w:rFonts w:ascii="Arial" w:hAnsi="Arial"/>
          <w:i/>
          <w:noProof/>
          <w:color w:val="008000"/>
        </w:rPr>
        <w:drawing>
          <wp:inline distT="0" distB="0" distL="0" distR="0" wp14:anchorId="5FF4AF23" wp14:editId="48EFC242">
            <wp:extent cx="5171440" cy="12090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440" cy="1209040"/>
                    </a:xfrm>
                    <a:prstGeom prst="rect">
                      <a:avLst/>
                    </a:prstGeom>
                    <a:noFill/>
                    <a:ln>
                      <a:noFill/>
                    </a:ln>
                  </pic:spPr>
                </pic:pic>
              </a:graphicData>
            </a:graphic>
          </wp:inline>
        </w:drawing>
      </w:r>
    </w:p>
    <w:p w14:paraId="46B69CA1" w14:textId="6512BFFE" w:rsidR="00250878" w:rsidRPr="008B060C" w:rsidRDefault="00250878" w:rsidP="001607D0">
      <w:pPr>
        <w:rPr>
          <w:rFonts w:ascii="Arial" w:hAnsi="Arial"/>
          <w:b/>
          <w:color w:val="943634"/>
          <w:sz w:val="30"/>
        </w:rPr>
      </w:pPr>
      <w:r>
        <w:rPr>
          <w:rFonts w:ascii="Arial" w:hAnsi="Arial"/>
          <w:b/>
          <w:color w:val="0000FF"/>
          <w:sz w:val="28"/>
        </w:rPr>
        <w:lastRenderedPageBreak/>
        <w:t xml:space="preserve"> </w:t>
      </w:r>
      <w:r w:rsidRPr="008B060C">
        <w:rPr>
          <w:rFonts w:ascii="Arial" w:hAnsi="Arial"/>
          <w:b/>
          <w:color w:val="943634"/>
          <w:sz w:val="30"/>
        </w:rPr>
        <w:t>Contents</w:t>
      </w:r>
    </w:p>
    <w:p w14:paraId="66A399AA" w14:textId="77777777" w:rsidR="00250878" w:rsidRDefault="00250878" w:rsidP="001607D0">
      <w:pPr>
        <w:rPr>
          <w:rFonts w:ascii="Arial" w:hAnsi="Arial"/>
          <w:b/>
          <w:color w:val="0000FF"/>
          <w:sz w:val="28"/>
        </w:rPr>
      </w:pPr>
    </w:p>
    <w:p w14:paraId="2D4AEC0C" w14:textId="428ADABA" w:rsidR="00250878" w:rsidRPr="00B67945" w:rsidRDefault="00C42A0E" w:rsidP="00B67945">
      <w:pPr>
        <w:rPr>
          <w:rFonts w:ascii="Arial" w:hAnsi="Arial"/>
        </w:rPr>
      </w:pPr>
      <w:r w:rsidRPr="00B67945">
        <w:rPr>
          <w:rFonts w:ascii="Arial" w:hAnsi="Arial"/>
        </w:rPr>
        <w:t xml:space="preserve">1. </w:t>
      </w:r>
      <w:r w:rsidR="00250878" w:rsidRPr="00B67945">
        <w:rPr>
          <w:rFonts w:ascii="Arial" w:hAnsi="Arial"/>
        </w:rPr>
        <w:t>Introduction</w:t>
      </w:r>
      <w:r w:rsidR="00137C7F" w:rsidRPr="00B67945">
        <w:rPr>
          <w:rFonts w:ascii="Arial" w:hAnsi="Arial"/>
        </w:rPr>
        <w:t>.........................................................................</w:t>
      </w:r>
      <w:r w:rsidRPr="00B67945">
        <w:rPr>
          <w:rFonts w:ascii="Arial" w:hAnsi="Arial"/>
        </w:rPr>
        <w:t>............</w:t>
      </w:r>
      <w:r w:rsidR="00C61D00">
        <w:rPr>
          <w:rFonts w:ascii="Arial" w:hAnsi="Arial"/>
        </w:rPr>
        <w:t>...</w:t>
      </w:r>
      <w:r w:rsidR="00137C7F" w:rsidRPr="00B67945">
        <w:rPr>
          <w:rFonts w:ascii="Arial" w:hAnsi="Arial"/>
        </w:rPr>
        <w:t>Page 3</w:t>
      </w:r>
    </w:p>
    <w:p w14:paraId="2E4E414E" w14:textId="77777777" w:rsidR="00250878" w:rsidRPr="00137C7F" w:rsidRDefault="00250878" w:rsidP="00B67945">
      <w:pPr>
        <w:rPr>
          <w:rFonts w:ascii="Arial" w:hAnsi="Arial"/>
        </w:rPr>
      </w:pPr>
    </w:p>
    <w:p w14:paraId="0B2C28FA" w14:textId="1E7D40DF" w:rsidR="00250878" w:rsidRPr="00B67945" w:rsidRDefault="00C42A0E" w:rsidP="00B67945">
      <w:pPr>
        <w:rPr>
          <w:rFonts w:ascii="Arial" w:hAnsi="Arial"/>
        </w:rPr>
      </w:pPr>
      <w:r w:rsidRPr="00B67945">
        <w:rPr>
          <w:rFonts w:ascii="Arial" w:hAnsi="Arial"/>
        </w:rPr>
        <w:t>2. Employment Statistic</w:t>
      </w:r>
      <w:r w:rsidR="00C61D00">
        <w:rPr>
          <w:rFonts w:ascii="Arial" w:hAnsi="Arial"/>
        </w:rPr>
        <w:t>s.</w:t>
      </w:r>
      <w:r w:rsidR="00137C7F" w:rsidRPr="00B67945">
        <w:rPr>
          <w:rFonts w:ascii="Arial" w:hAnsi="Arial"/>
        </w:rPr>
        <w:t>……………………………………</w:t>
      </w:r>
      <w:r w:rsidRPr="00B67945">
        <w:rPr>
          <w:rFonts w:ascii="Arial" w:hAnsi="Arial"/>
        </w:rPr>
        <w:t xml:space="preserve">…………. </w:t>
      </w:r>
      <w:r w:rsidR="006D56AC">
        <w:rPr>
          <w:rFonts w:ascii="Arial" w:hAnsi="Arial"/>
        </w:rPr>
        <w:t>...P</w:t>
      </w:r>
      <w:r w:rsidR="00137C7F" w:rsidRPr="00B67945">
        <w:rPr>
          <w:rFonts w:ascii="Arial" w:hAnsi="Arial"/>
        </w:rPr>
        <w:t>age 4</w:t>
      </w:r>
    </w:p>
    <w:p w14:paraId="382CB7EB" w14:textId="77777777" w:rsidR="00250878" w:rsidRPr="00137C7F" w:rsidRDefault="00250878" w:rsidP="00B67945">
      <w:pPr>
        <w:rPr>
          <w:rFonts w:ascii="Arial" w:hAnsi="Arial"/>
        </w:rPr>
      </w:pPr>
    </w:p>
    <w:p w14:paraId="26987595" w14:textId="02E8E4CE" w:rsidR="00250878" w:rsidRPr="00B67945" w:rsidRDefault="00C42A0E" w:rsidP="00B67945">
      <w:pPr>
        <w:widowControl w:val="0"/>
        <w:autoSpaceDE w:val="0"/>
        <w:autoSpaceDN w:val="0"/>
        <w:adjustRightInd w:val="0"/>
        <w:rPr>
          <w:rFonts w:ascii="Arial" w:hAnsi="Arial" w:cs="Arial"/>
        </w:rPr>
      </w:pPr>
      <w:r w:rsidRPr="00B67945">
        <w:rPr>
          <w:rFonts w:ascii="Arial" w:hAnsi="Arial" w:cs="Arial"/>
        </w:rPr>
        <w:t xml:space="preserve">3. </w:t>
      </w:r>
      <w:r w:rsidR="00250878" w:rsidRPr="00B67945">
        <w:rPr>
          <w:rFonts w:ascii="Arial" w:hAnsi="Arial" w:cs="Arial"/>
        </w:rPr>
        <w:t>Change</w:t>
      </w:r>
      <w:r w:rsidRPr="00B67945">
        <w:rPr>
          <w:rFonts w:ascii="Arial" w:hAnsi="Arial" w:cs="Arial"/>
        </w:rPr>
        <w:t xml:space="preserve">s in the objectives of employee </w:t>
      </w:r>
      <w:r w:rsidR="00250878" w:rsidRPr="00B67945">
        <w:rPr>
          <w:rFonts w:ascii="Arial" w:hAnsi="Arial" w:cs="Arial"/>
        </w:rPr>
        <w:t>benefits</w:t>
      </w:r>
      <w:r w:rsidR="00137C7F" w:rsidRPr="00B67945">
        <w:rPr>
          <w:rFonts w:ascii="Arial" w:hAnsi="Arial" w:cs="Arial"/>
        </w:rPr>
        <w:t>…………</w:t>
      </w:r>
      <w:r w:rsidRPr="00B67945">
        <w:rPr>
          <w:rFonts w:ascii="Arial" w:hAnsi="Arial" w:cs="Arial"/>
        </w:rPr>
        <w:t>………...</w:t>
      </w:r>
      <w:r w:rsidR="00031EB4">
        <w:rPr>
          <w:rFonts w:ascii="Arial" w:hAnsi="Arial" w:cs="Arial"/>
        </w:rPr>
        <w:t>...</w:t>
      </w:r>
      <w:r w:rsidR="00137C7F" w:rsidRPr="00B67945">
        <w:rPr>
          <w:rFonts w:ascii="Arial" w:hAnsi="Arial" w:cs="Arial"/>
        </w:rPr>
        <w:t>Page 5</w:t>
      </w:r>
    </w:p>
    <w:p w14:paraId="41E3AC58" w14:textId="77777777" w:rsidR="00250878" w:rsidRPr="00137C7F" w:rsidRDefault="00250878" w:rsidP="00B67945">
      <w:pPr>
        <w:widowControl w:val="0"/>
        <w:autoSpaceDE w:val="0"/>
        <w:autoSpaceDN w:val="0"/>
        <w:adjustRightInd w:val="0"/>
        <w:rPr>
          <w:rFonts w:ascii="Arial" w:hAnsi="Arial" w:cs="Arial"/>
        </w:rPr>
      </w:pPr>
    </w:p>
    <w:p w14:paraId="5657964A" w14:textId="2BCE3AB7" w:rsidR="00250878" w:rsidRPr="00B67945" w:rsidRDefault="00C42A0E" w:rsidP="00B67945">
      <w:pPr>
        <w:widowControl w:val="0"/>
        <w:autoSpaceDE w:val="0"/>
        <w:autoSpaceDN w:val="0"/>
        <w:adjustRightInd w:val="0"/>
        <w:rPr>
          <w:rFonts w:ascii="Arial" w:hAnsi="Arial" w:cs="Arial"/>
        </w:rPr>
      </w:pPr>
      <w:r w:rsidRPr="00B67945">
        <w:rPr>
          <w:rFonts w:ascii="Arial" w:hAnsi="Arial" w:cs="Arial"/>
        </w:rPr>
        <w:t>4. Changing employer a</w:t>
      </w:r>
      <w:r w:rsidR="00250878" w:rsidRPr="00B67945">
        <w:rPr>
          <w:rFonts w:ascii="Arial" w:hAnsi="Arial" w:cs="Arial"/>
        </w:rPr>
        <w:t>ttitudes</w:t>
      </w:r>
      <w:r w:rsidR="00137C7F" w:rsidRPr="00B67945">
        <w:rPr>
          <w:rFonts w:ascii="Arial" w:hAnsi="Arial" w:cs="Arial"/>
        </w:rPr>
        <w:t>……………………………...</w:t>
      </w:r>
      <w:r w:rsidR="004C1ED6" w:rsidRPr="00B67945">
        <w:rPr>
          <w:rFonts w:ascii="Arial" w:hAnsi="Arial" w:cs="Arial"/>
        </w:rPr>
        <w:t>...</w:t>
      </w:r>
      <w:r w:rsidRPr="00B67945">
        <w:rPr>
          <w:rFonts w:ascii="Arial" w:hAnsi="Arial" w:cs="Arial"/>
        </w:rPr>
        <w:t>............</w:t>
      </w:r>
      <w:r w:rsidR="00B67945">
        <w:rPr>
          <w:rFonts w:ascii="Arial" w:hAnsi="Arial" w:cs="Arial"/>
        </w:rPr>
        <w:t>...</w:t>
      </w:r>
      <w:r w:rsidR="00137C7F" w:rsidRPr="00B67945">
        <w:rPr>
          <w:rFonts w:ascii="Arial" w:hAnsi="Arial" w:cs="Arial"/>
        </w:rPr>
        <w:t xml:space="preserve">Page </w:t>
      </w:r>
      <w:r w:rsidR="004C1ED6" w:rsidRPr="00B67945">
        <w:rPr>
          <w:rFonts w:ascii="Arial" w:hAnsi="Arial" w:cs="Arial"/>
        </w:rPr>
        <w:t>6</w:t>
      </w:r>
    </w:p>
    <w:p w14:paraId="792D8B6B" w14:textId="77777777" w:rsidR="00250878" w:rsidRPr="00137C7F" w:rsidRDefault="00250878" w:rsidP="00B67945">
      <w:pPr>
        <w:widowControl w:val="0"/>
        <w:autoSpaceDE w:val="0"/>
        <w:autoSpaceDN w:val="0"/>
        <w:adjustRightInd w:val="0"/>
        <w:rPr>
          <w:rFonts w:ascii="Arial" w:hAnsi="Arial" w:cs="Arial"/>
        </w:rPr>
      </w:pPr>
    </w:p>
    <w:p w14:paraId="634A6F58" w14:textId="5E58E062" w:rsidR="00250878" w:rsidRPr="00B67945" w:rsidRDefault="00C42A0E" w:rsidP="00B67945">
      <w:pPr>
        <w:widowControl w:val="0"/>
        <w:autoSpaceDE w:val="0"/>
        <w:autoSpaceDN w:val="0"/>
        <w:adjustRightInd w:val="0"/>
        <w:rPr>
          <w:rFonts w:ascii="Arial" w:hAnsi="Arial" w:cs="Arial"/>
        </w:rPr>
      </w:pPr>
      <w:r w:rsidRPr="00B67945">
        <w:rPr>
          <w:rFonts w:ascii="Arial" w:hAnsi="Arial" w:cs="Arial"/>
        </w:rPr>
        <w:t xml:space="preserve">5. </w:t>
      </w:r>
      <w:r w:rsidR="00250878" w:rsidRPr="00B67945">
        <w:rPr>
          <w:rFonts w:ascii="Arial" w:hAnsi="Arial" w:cs="Arial"/>
        </w:rPr>
        <w:t>Some brief comments on pension schemes</w:t>
      </w:r>
      <w:r w:rsidR="004C1ED6" w:rsidRPr="00B67945">
        <w:rPr>
          <w:rFonts w:ascii="Arial" w:hAnsi="Arial" w:cs="Arial"/>
        </w:rPr>
        <w:t>………………</w:t>
      </w:r>
      <w:r w:rsidRPr="00B67945">
        <w:rPr>
          <w:rFonts w:ascii="Arial" w:hAnsi="Arial" w:cs="Arial"/>
        </w:rPr>
        <w:t>………</w:t>
      </w:r>
      <w:r w:rsidR="00B67945">
        <w:rPr>
          <w:rFonts w:ascii="Arial" w:hAnsi="Arial" w:cs="Arial"/>
        </w:rPr>
        <w:t>…</w:t>
      </w:r>
      <w:r w:rsidR="006D56AC">
        <w:rPr>
          <w:rFonts w:ascii="Arial" w:hAnsi="Arial" w:cs="Arial"/>
        </w:rPr>
        <w:t>..</w:t>
      </w:r>
      <w:r w:rsidR="004C1ED6" w:rsidRPr="00B67945">
        <w:rPr>
          <w:rFonts w:ascii="Arial" w:hAnsi="Arial" w:cs="Arial"/>
        </w:rPr>
        <w:t>Page 7</w:t>
      </w:r>
    </w:p>
    <w:p w14:paraId="399E7D54" w14:textId="77777777" w:rsidR="00250878" w:rsidRPr="00137C7F" w:rsidRDefault="00250878" w:rsidP="00B67945">
      <w:pPr>
        <w:widowControl w:val="0"/>
        <w:autoSpaceDE w:val="0"/>
        <w:autoSpaceDN w:val="0"/>
        <w:adjustRightInd w:val="0"/>
        <w:jc w:val="both"/>
        <w:rPr>
          <w:rFonts w:ascii="Arial" w:hAnsi="Arial" w:cs="Arial"/>
        </w:rPr>
      </w:pPr>
    </w:p>
    <w:p w14:paraId="103ACABF" w14:textId="58B26338" w:rsidR="00250878" w:rsidRPr="00B67945" w:rsidRDefault="00C42A0E" w:rsidP="00B67945">
      <w:pPr>
        <w:widowControl w:val="0"/>
        <w:autoSpaceDE w:val="0"/>
        <w:autoSpaceDN w:val="0"/>
        <w:adjustRightInd w:val="0"/>
        <w:jc w:val="both"/>
        <w:rPr>
          <w:rFonts w:ascii="Arial" w:hAnsi="Arial" w:cs="Arial"/>
        </w:rPr>
      </w:pPr>
      <w:r w:rsidRPr="00B67945">
        <w:rPr>
          <w:rFonts w:ascii="Arial" w:hAnsi="Arial" w:cs="Arial"/>
        </w:rPr>
        <w:t xml:space="preserve">6. </w:t>
      </w:r>
      <w:r w:rsidR="00250878" w:rsidRPr="00B67945">
        <w:rPr>
          <w:rFonts w:ascii="Arial" w:hAnsi="Arial" w:cs="Arial"/>
        </w:rPr>
        <w:t>Flexible Benefits (and other voluntary approaches)</w:t>
      </w:r>
      <w:r w:rsidR="004C1ED6" w:rsidRPr="00B67945">
        <w:rPr>
          <w:rFonts w:ascii="Arial" w:hAnsi="Arial" w:cs="Arial"/>
        </w:rPr>
        <w:t>………</w:t>
      </w:r>
      <w:r w:rsidRPr="00B67945">
        <w:rPr>
          <w:rFonts w:ascii="Arial" w:hAnsi="Arial" w:cs="Arial"/>
        </w:rPr>
        <w:t>………</w:t>
      </w:r>
      <w:r w:rsidR="00B67945">
        <w:rPr>
          <w:rFonts w:ascii="Arial" w:hAnsi="Arial" w:cs="Arial"/>
        </w:rPr>
        <w:t>…</w:t>
      </w:r>
      <w:r w:rsidR="006D56AC">
        <w:rPr>
          <w:rFonts w:ascii="Arial" w:hAnsi="Arial" w:cs="Arial"/>
        </w:rPr>
        <w:t>.</w:t>
      </w:r>
      <w:r w:rsidR="004C1ED6" w:rsidRPr="00B67945">
        <w:rPr>
          <w:rFonts w:ascii="Arial" w:hAnsi="Arial" w:cs="Arial"/>
        </w:rPr>
        <w:t>Page 9</w:t>
      </w:r>
    </w:p>
    <w:p w14:paraId="3A80C2F3" w14:textId="77777777" w:rsidR="00250878" w:rsidRPr="00137C7F" w:rsidRDefault="00250878" w:rsidP="00B67945">
      <w:pPr>
        <w:pStyle w:val="ListParagraph"/>
        <w:ind w:left="0"/>
        <w:rPr>
          <w:rFonts w:ascii="Arial" w:hAnsi="Arial" w:cs="Arial"/>
        </w:rPr>
      </w:pPr>
    </w:p>
    <w:p w14:paraId="78C3BBA4" w14:textId="249BCF8B" w:rsidR="00250878" w:rsidRPr="00B67945" w:rsidRDefault="00C42A0E" w:rsidP="00B67945">
      <w:pPr>
        <w:rPr>
          <w:rFonts w:ascii="Arial" w:hAnsi="Arial"/>
        </w:rPr>
      </w:pPr>
      <w:r w:rsidRPr="00B67945">
        <w:rPr>
          <w:rFonts w:ascii="Arial" w:hAnsi="Arial"/>
        </w:rPr>
        <w:t xml:space="preserve">7. </w:t>
      </w:r>
      <w:r w:rsidR="00250878" w:rsidRPr="00B67945">
        <w:rPr>
          <w:rFonts w:ascii="Arial" w:hAnsi="Arial"/>
        </w:rPr>
        <w:t>Other important trends and indicators</w:t>
      </w:r>
      <w:r w:rsidR="004C1ED6" w:rsidRPr="00B67945">
        <w:rPr>
          <w:rFonts w:ascii="Arial" w:hAnsi="Arial"/>
        </w:rPr>
        <w:t>……………………...</w:t>
      </w:r>
      <w:r w:rsidRPr="00B67945">
        <w:rPr>
          <w:rFonts w:ascii="Arial" w:hAnsi="Arial"/>
        </w:rPr>
        <w:t>...........</w:t>
      </w:r>
      <w:r w:rsidR="00B67945">
        <w:rPr>
          <w:rFonts w:ascii="Arial" w:hAnsi="Arial"/>
        </w:rPr>
        <w:t>....</w:t>
      </w:r>
      <w:r w:rsidR="004C1ED6" w:rsidRPr="00B67945">
        <w:rPr>
          <w:rFonts w:ascii="Arial" w:hAnsi="Arial"/>
        </w:rPr>
        <w:t>Page</w:t>
      </w:r>
      <w:r w:rsidRPr="00B67945">
        <w:rPr>
          <w:rFonts w:ascii="Arial" w:hAnsi="Arial"/>
        </w:rPr>
        <w:t xml:space="preserve"> 11</w:t>
      </w:r>
    </w:p>
    <w:p w14:paraId="7D83A134" w14:textId="77777777" w:rsidR="00C42A0E" w:rsidRPr="00C42A0E" w:rsidRDefault="00C42A0E" w:rsidP="008E062E">
      <w:pPr>
        <w:pStyle w:val="ListParagraph"/>
        <w:rPr>
          <w:rFonts w:ascii="Arial" w:hAnsi="Arial"/>
        </w:rPr>
      </w:pPr>
    </w:p>
    <w:p w14:paraId="08027AD7" w14:textId="114CC777" w:rsidR="00250878" w:rsidRPr="006D56AC" w:rsidRDefault="00C42A0E" w:rsidP="00B67945">
      <w:pPr>
        <w:widowControl w:val="0"/>
        <w:autoSpaceDE w:val="0"/>
        <w:autoSpaceDN w:val="0"/>
        <w:adjustRightInd w:val="0"/>
        <w:ind w:left="360" w:firstLine="360"/>
        <w:rPr>
          <w:rFonts w:ascii="Arial" w:hAnsi="Arial" w:cs="Arial"/>
        </w:rPr>
      </w:pPr>
      <w:r w:rsidRPr="006D56AC">
        <w:rPr>
          <w:rFonts w:ascii="Arial" w:hAnsi="Arial" w:cs="Arial"/>
        </w:rPr>
        <w:t>7.1</w:t>
      </w:r>
      <w:r w:rsidR="008E062E" w:rsidRPr="006D56AC">
        <w:rPr>
          <w:rFonts w:ascii="Arial" w:hAnsi="Arial" w:cs="Arial"/>
        </w:rPr>
        <w:t xml:space="preserve"> </w:t>
      </w:r>
      <w:r w:rsidRPr="006D56AC">
        <w:rPr>
          <w:rFonts w:ascii="Arial" w:hAnsi="Arial" w:cs="Arial"/>
        </w:rPr>
        <w:t>Age Demographics……………………………………………</w:t>
      </w:r>
      <w:r w:rsidR="006D56AC">
        <w:rPr>
          <w:rFonts w:ascii="Arial" w:hAnsi="Arial" w:cs="Arial"/>
        </w:rPr>
        <w:t>..</w:t>
      </w:r>
      <w:r w:rsidRPr="006D56AC">
        <w:rPr>
          <w:rFonts w:ascii="Arial" w:hAnsi="Arial" w:cs="Arial"/>
        </w:rPr>
        <w:t>Page 11</w:t>
      </w:r>
    </w:p>
    <w:p w14:paraId="4CE2C82C" w14:textId="77777777" w:rsidR="008E062E" w:rsidRPr="006D56AC" w:rsidRDefault="008E062E" w:rsidP="00B67945">
      <w:pPr>
        <w:pStyle w:val="ListParagraph"/>
        <w:rPr>
          <w:rFonts w:ascii="Arial" w:hAnsi="Arial" w:cs="Arial"/>
        </w:rPr>
      </w:pPr>
    </w:p>
    <w:p w14:paraId="716AE2F1" w14:textId="498CE457" w:rsidR="008E062E" w:rsidRPr="006D56AC" w:rsidRDefault="008E062E" w:rsidP="00B67945">
      <w:pPr>
        <w:widowControl w:val="0"/>
        <w:autoSpaceDE w:val="0"/>
        <w:autoSpaceDN w:val="0"/>
        <w:adjustRightInd w:val="0"/>
        <w:ind w:left="360" w:firstLine="360"/>
        <w:rPr>
          <w:rFonts w:ascii="Arial" w:hAnsi="Arial" w:cs="Arial"/>
        </w:rPr>
      </w:pPr>
      <w:r w:rsidRPr="006D56AC">
        <w:rPr>
          <w:rFonts w:ascii="Arial" w:hAnsi="Arial" w:cs="Arial"/>
        </w:rPr>
        <w:t>7.2 No more ‘jobs for life’………………………………………</w:t>
      </w:r>
      <w:r w:rsidR="006D56AC">
        <w:rPr>
          <w:rFonts w:ascii="Arial" w:hAnsi="Arial" w:cs="Arial"/>
        </w:rPr>
        <w:t>......</w:t>
      </w:r>
      <w:r w:rsidRPr="006D56AC">
        <w:rPr>
          <w:rFonts w:ascii="Arial" w:hAnsi="Arial" w:cs="Arial"/>
        </w:rPr>
        <w:t>Page 12</w:t>
      </w:r>
    </w:p>
    <w:p w14:paraId="6F284572" w14:textId="77777777" w:rsidR="008E062E" w:rsidRPr="006D56AC" w:rsidRDefault="008E062E" w:rsidP="00B67945">
      <w:pPr>
        <w:pStyle w:val="ListParagraph"/>
        <w:rPr>
          <w:rFonts w:ascii="Arial" w:hAnsi="Arial" w:cs="Arial"/>
        </w:rPr>
      </w:pPr>
    </w:p>
    <w:p w14:paraId="2A27F162" w14:textId="1C6729C8" w:rsidR="008E062E" w:rsidRDefault="008E062E" w:rsidP="00B67945">
      <w:pPr>
        <w:widowControl w:val="0"/>
        <w:autoSpaceDE w:val="0"/>
        <w:autoSpaceDN w:val="0"/>
        <w:adjustRightInd w:val="0"/>
        <w:ind w:left="720"/>
        <w:rPr>
          <w:rFonts w:ascii="Arial" w:hAnsi="Arial" w:cs="Arial"/>
        </w:rPr>
      </w:pPr>
      <w:r w:rsidRPr="006D56AC">
        <w:rPr>
          <w:rFonts w:ascii="Arial" w:hAnsi="Arial" w:cs="Arial"/>
        </w:rPr>
        <w:t xml:space="preserve">7.3 The Growth of self-employment (and businesses with no </w:t>
      </w:r>
      <w:r w:rsidR="00B67945" w:rsidRPr="006D56AC">
        <w:rPr>
          <w:rFonts w:ascii="Arial" w:hAnsi="Arial" w:cs="Arial"/>
        </w:rPr>
        <w:t xml:space="preserve">  </w:t>
      </w:r>
      <w:r w:rsidR="00BE3FE6">
        <w:rPr>
          <w:rFonts w:ascii="Arial" w:hAnsi="Arial" w:cs="Arial"/>
        </w:rPr>
        <w:t xml:space="preserve">   </w:t>
      </w:r>
      <w:r w:rsidRPr="006D56AC">
        <w:rPr>
          <w:rFonts w:ascii="Arial" w:hAnsi="Arial" w:cs="Arial"/>
        </w:rPr>
        <w:t>employees)…………………………………………………………</w:t>
      </w:r>
      <w:r w:rsidR="006D56AC">
        <w:rPr>
          <w:rFonts w:ascii="Arial" w:hAnsi="Arial" w:cs="Arial"/>
        </w:rPr>
        <w:t>..</w:t>
      </w:r>
      <w:r w:rsidR="00C61D00">
        <w:rPr>
          <w:rFonts w:ascii="Arial" w:hAnsi="Arial" w:cs="Arial"/>
        </w:rPr>
        <w:t>Page 13</w:t>
      </w:r>
    </w:p>
    <w:p w14:paraId="52C75B08" w14:textId="77777777" w:rsidR="00C61D00" w:rsidRDefault="00C61D00" w:rsidP="00B67945">
      <w:pPr>
        <w:widowControl w:val="0"/>
        <w:autoSpaceDE w:val="0"/>
        <w:autoSpaceDN w:val="0"/>
        <w:adjustRightInd w:val="0"/>
        <w:ind w:left="720"/>
        <w:rPr>
          <w:rFonts w:ascii="Arial" w:hAnsi="Arial" w:cs="Arial"/>
        </w:rPr>
      </w:pPr>
    </w:p>
    <w:p w14:paraId="7EEE106B" w14:textId="2FBA5106" w:rsidR="00C61D00" w:rsidRDefault="00C61D00" w:rsidP="00B67945">
      <w:pPr>
        <w:widowControl w:val="0"/>
        <w:autoSpaceDE w:val="0"/>
        <w:autoSpaceDN w:val="0"/>
        <w:adjustRightInd w:val="0"/>
        <w:ind w:left="720"/>
        <w:rPr>
          <w:rFonts w:ascii="Arial" w:hAnsi="Arial" w:cs="Arial"/>
        </w:rPr>
      </w:pPr>
      <w:r>
        <w:rPr>
          <w:rFonts w:ascii="Arial" w:hAnsi="Arial" w:cs="Arial"/>
        </w:rPr>
        <w:t>7.4 Attraction of self-insurance…………………………………….Page 13</w:t>
      </w:r>
    </w:p>
    <w:p w14:paraId="44FC2E7A" w14:textId="77777777" w:rsidR="00C61D00" w:rsidRDefault="00C61D00" w:rsidP="00B67945">
      <w:pPr>
        <w:widowControl w:val="0"/>
        <w:autoSpaceDE w:val="0"/>
        <w:autoSpaceDN w:val="0"/>
        <w:adjustRightInd w:val="0"/>
        <w:ind w:left="720"/>
        <w:rPr>
          <w:rFonts w:ascii="Arial" w:hAnsi="Arial" w:cs="Arial"/>
        </w:rPr>
      </w:pPr>
    </w:p>
    <w:p w14:paraId="53300688" w14:textId="72BCDF17" w:rsidR="00C61D00" w:rsidRPr="006D56AC" w:rsidRDefault="00C61D00" w:rsidP="00B67945">
      <w:pPr>
        <w:widowControl w:val="0"/>
        <w:autoSpaceDE w:val="0"/>
        <w:autoSpaceDN w:val="0"/>
        <w:adjustRightInd w:val="0"/>
        <w:ind w:left="720"/>
        <w:rPr>
          <w:rFonts w:ascii="Arial" w:hAnsi="Arial" w:cs="Arial"/>
        </w:rPr>
      </w:pPr>
      <w:r>
        <w:rPr>
          <w:rFonts w:ascii="Arial" w:hAnsi="Arial" w:cs="Arial"/>
        </w:rPr>
        <w:t>7.5 Employee over-optimism………………………………………Page 14</w:t>
      </w:r>
    </w:p>
    <w:p w14:paraId="24D80368" w14:textId="77777777" w:rsidR="008E062E" w:rsidRPr="008E062E" w:rsidRDefault="008E062E" w:rsidP="008E062E">
      <w:pPr>
        <w:pStyle w:val="ListParagraph"/>
        <w:rPr>
          <w:rFonts w:ascii="Arial" w:hAnsi="Arial" w:cs="Arial"/>
        </w:rPr>
      </w:pPr>
    </w:p>
    <w:p w14:paraId="622F521C" w14:textId="6DD13F70" w:rsidR="00250878" w:rsidRPr="00B67945" w:rsidRDefault="008E062E" w:rsidP="00B67945">
      <w:pPr>
        <w:widowControl w:val="0"/>
        <w:autoSpaceDE w:val="0"/>
        <w:autoSpaceDN w:val="0"/>
        <w:adjustRightInd w:val="0"/>
        <w:rPr>
          <w:rFonts w:ascii="Arial" w:hAnsi="Arial" w:cs="Arial"/>
        </w:rPr>
      </w:pPr>
      <w:r w:rsidRPr="00B67945">
        <w:rPr>
          <w:rFonts w:ascii="Arial" w:hAnsi="Arial" w:cs="Arial"/>
        </w:rPr>
        <w:t xml:space="preserve">8. </w:t>
      </w:r>
      <w:r w:rsidR="00250878" w:rsidRPr="00B67945">
        <w:rPr>
          <w:rFonts w:ascii="Arial" w:hAnsi="Arial" w:cs="Arial"/>
        </w:rPr>
        <w:t xml:space="preserve">Employee Benefit Statistics – are ‘traditional’ benefit plans </w:t>
      </w:r>
      <w:r w:rsidR="00031EB4">
        <w:rPr>
          <w:rFonts w:ascii="Arial" w:hAnsi="Arial" w:cs="Arial"/>
        </w:rPr>
        <w:t xml:space="preserve">                 meeting employer ne</w:t>
      </w:r>
      <w:r w:rsidR="00250878" w:rsidRPr="00B67945">
        <w:rPr>
          <w:rFonts w:ascii="Arial" w:hAnsi="Arial" w:cs="Arial"/>
        </w:rPr>
        <w:t>eds?</w:t>
      </w:r>
      <w:r w:rsidRPr="00B67945">
        <w:rPr>
          <w:rFonts w:ascii="Arial" w:hAnsi="Arial" w:cs="Arial"/>
        </w:rPr>
        <w:t>...........................................................</w:t>
      </w:r>
      <w:r w:rsidR="00031EB4">
        <w:rPr>
          <w:rFonts w:ascii="Arial" w:hAnsi="Arial" w:cs="Arial"/>
        </w:rPr>
        <w:t>..</w:t>
      </w:r>
      <w:r w:rsidR="00B67945">
        <w:rPr>
          <w:rFonts w:ascii="Arial" w:hAnsi="Arial" w:cs="Arial"/>
        </w:rPr>
        <w:t>.</w:t>
      </w:r>
      <w:r w:rsidR="00031EB4">
        <w:rPr>
          <w:rFonts w:ascii="Arial" w:hAnsi="Arial" w:cs="Arial"/>
        </w:rPr>
        <w:t>.......</w:t>
      </w:r>
      <w:r w:rsidR="00C61D00">
        <w:rPr>
          <w:rFonts w:ascii="Arial" w:hAnsi="Arial" w:cs="Arial"/>
        </w:rPr>
        <w:t>Page 15</w:t>
      </w:r>
    </w:p>
    <w:p w14:paraId="17A2662F" w14:textId="77777777" w:rsidR="008E062E" w:rsidRDefault="008E062E" w:rsidP="00B67945">
      <w:pPr>
        <w:pStyle w:val="ListParagraph"/>
        <w:widowControl w:val="0"/>
        <w:tabs>
          <w:tab w:val="left" w:pos="709"/>
        </w:tabs>
        <w:autoSpaceDE w:val="0"/>
        <w:autoSpaceDN w:val="0"/>
        <w:adjustRightInd w:val="0"/>
        <w:ind w:left="284"/>
        <w:rPr>
          <w:rFonts w:ascii="Arial" w:hAnsi="Arial" w:cs="Arial"/>
        </w:rPr>
      </w:pPr>
    </w:p>
    <w:p w14:paraId="1F8938D0" w14:textId="1923A8E0" w:rsidR="008E062E" w:rsidRDefault="008E062E" w:rsidP="00B67945">
      <w:pPr>
        <w:widowControl w:val="0"/>
        <w:autoSpaceDE w:val="0"/>
        <w:autoSpaceDN w:val="0"/>
        <w:adjustRightInd w:val="0"/>
        <w:spacing w:after="240"/>
        <w:ind w:firstLine="720"/>
        <w:rPr>
          <w:rFonts w:ascii="Arial" w:hAnsi="Arial" w:cs="Arial"/>
        </w:rPr>
      </w:pPr>
      <w:r w:rsidRPr="006D56AC">
        <w:rPr>
          <w:rFonts w:ascii="Arial" w:hAnsi="Arial" w:cs="Arial"/>
        </w:rPr>
        <w:t>8.1</w:t>
      </w:r>
      <w:r w:rsidR="00B67945" w:rsidRPr="006D56AC">
        <w:rPr>
          <w:rFonts w:ascii="Arial" w:hAnsi="Arial" w:cs="Arial"/>
        </w:rPr>
        <w:t xml:space="preserve"> Health policies generally pre- and post-recession</w:t>
      </w:r>
      <w:r w:rsidR="00B67945" w:rsidRPr="00031EB4">
        <w:rPr>
          <w:rFonts w:ascii="Arial" w:hAnsi="Arial" w:cs="Arial"/>
          <w:sz w:val="22"/>
        </w:rPr>
        <w:t>…………</w:t>
      </w:r>
      <w:r w:rsidR="006D56AC">
        <w:rPr>
          <w:rFonts w:ascii="Arial" w:hAnsi="Arial" w:cs="Arial"/>
          <w:sz w:val="22"/>
        </w:rPr>
        <w:t>...</w:t>
      </w:r>
      <w:r w:rsidR="00C61D00">
        <w:rPr>
          <w:rFonts w:ascii="Arial" w:hAnsi="Arial" w:cs="Arial"/>
        </w:rPr>
        <w:t>Page 17</w:t>
      </w:r>
    </w:p>
    <w:p w14:paraId="12FD43ED" w14:textId="44D47882" w:rsidR="00C61D00" w:rsidRPr="00BE3FE6" w:rsidRDefault="00BE3FE6" w:rsidP="00B67945">
      <w:pPr>
        <w:widowControl w:val="0"/>
        <w:autoSpaceDE w:val="0"/>
        <w:autoSpaceDN w:val="0"/>
        <w:adjustRightInd w:val="0"/>
        <w:spacing w:after="240"/>
        <w:ind w:firstLine="720"/>
        <w:rPr>
          <w:rFonts w:ascii="Arial" w:hAnsi="Arial" w:cs="Arial"/>
        </w:rPr>
      </w:pPr>
      <w:r w:rsidRPr="00BE3FE6">
        <w:rPr>
          <w:rFonts w:ascii="Arial" w:hAnsi="Arial" w:cs="Arial"/>
        </w:rPr>
        <w:t>8.2 Traditional policies and the self-employed</w:t>
      </w:r>
      <w:r>
        <w:rPr>
          <w:rFonts w:ascii="Arial" w:hAnsi="Arial" w:cs="Arial"/>
        </w:rPr>
        <w:t>…</w:t>
      </w:r>
      <w:r w:rsidR="00C61D00" w:rsidRPr="00BE3FE6">
        <w:rPr>
          <w:rFonts w:ascii="Arial" w:hAnsi="Arial" w:cs="Arial"/>
        </w:rPr>
        <w:t>………………..Page 17</w:t>
      </w:r>
    </w:p>
    <w:p w14:paraId="43EE869F" w14:textId="110E3572" w:rsidR="00BE3FE6" w:rsidRDefault="00BE3FE6" w:rsidP="00B67945">
      <w:pPr>
        <w:widowControl w:val="0"/>
        <w:autoSpaceDE w:val="0"/>
        <w:autoSpaceDN w:val="0"/>
        <w:adjustRightInd w:val="0"/>
        <w:rPr>
          <w:rFonts w:ascii="Arial" w:hAnsi="Arial" w:cs="Arial"/>
        </w:rPr>
      </w:pPr>
      <w:r w:rsidRPr="00BE3FE6">
        <w:rPr>
          <w:rFonts w:ascii="Arial" w:hAnsi="Arial" w:cs="Arial"/>
        </w:rPr>
        <w:t>9. Benefits in the workplace in the 21</w:t>
      </w:r>
      <w:r w:rsidRPr="00BE3FE6">
        <w:rPr>
          <w:rFonts w:ascii="Arial" w:hAnsi="Arial" w:cs="Arial"/>
          <w:vertAlign w:val="superscript"/>
        </w:rPr>
        <w:t>st</w:t>
      </w:r>
      <w:r>
        <w:rPr>
          <w:rFonts w:ascii="Arial" w:hAnsi="Arial" w:cs="Arial"/>
        </w:rPr>
        <w:t xml:space="preserve"> Century Summary and </w:t>
      </w:r>
    </w:p>
    <w:p w14:paraId="2FEB3DE8" w14:textId="26C836CF" w:rsidR="00250878" w:rsidRPr="00BE3FE6" w:rsidRDefault="00BE3FE6" w:rsidP="00B67945">
      <w:pPr>
        <w:widowControl w:val="0"/>
        <w:autoSpaceDE w:val="0"/>
        <w:autoSpaceDN w:val="0"/>
        <w:adjustRightInd w:val="0"/>
        <w:rPr>
          <w:rFonts w:ascii="Arial" w:hAnsi="Arial" w:cs="Arial"/>
        </w:rPr>
      </w:pPr>
      <w:r w:rsidRPr="00BE3FE6">
        <w:rPr>
          <w:rFonts w:ascii="Arial" w:hAnsi="Arial" w:cs="Arial"/>
        </w:rPr>
        <w:t xml:space="preserve"> Conclusion </w:t>
      </w:r>
      <w:r>
        <w:rPr>
          <w:rFonts w:ascii="Arial" w:hAnsi="Arial" w:cs="Arial"/>
        </w:rPr>
        <w:t>…………………………………………………………………</w:t>
      </w:r>
      <w:r w:rsidR="0008197D">
        <w:rPr>
          <w:rFonts w:ascii="Arial" w:hAnsi="Arial" w:cs="Arial"/>
        </w:rPr>
        <w:t>.</w:t>
      </w:r>
      <w:r>
        <w:rPr>
          <w:rFonts w:ascii="Arial" w:hAnsi="Arial" w:cs="Arial"/>
        </w:rPr>
        <w:t>Page 18</w:t>
      </w:r>
    </w:p>
    <w:p w14:paraId="1A290C44" w14:textId="77777777" w:rsidR="00FC2F96" w:rsidRDefault="00FC2F96" w:rsidP="00B67945">
      <w:pPr>
        <w:widowControl w:val="0"/>
        <w:autoSpaceDE w:val="0"/>
        <w:autoSpaceDN w:val="0"/>
        <w:adjustRightInd w:val="0"/>
        <w:rPr>
          <w:rFonts w:ascii="Arial" w:hAnsi="Arial" w:cs="Arial"/>
        </w:rPr>
      </w:pPr>
      <w:r>
        <w:rPr>
          <w:rFonts w:ascii="Arial" w:hAnsi="Arial" w:cs="Arial"/>
        </w:rPr>
        <w:tab/>
      </w:r>
    </w:p>
    <w:p w14:paraId="1853B9CD" w14:textId="21CC3911" w:rsidR="00FC2F96" w:rsidRDefault="00FC2F96" w:rsidP="00FC2F96">
      <w:pPr>
        <w:widowControl w:val="0"/>
        <w:autoSpaceDE w:val="0"/>
        <w:autoSpaceDN w:val="0"/>
        <w:adjustRightInd w:val="0"/>
        <w:ind w:firstLine="720"/>
        <w:rPr>
          <w:rFonts w:ascii="Arial" w:hAnsi="Arial" w:cs="Arial"/>
        </w:rPr>
      </w:pPr>
      <w:r>
        <w:rPr>
          <w:rFonts w:ascii="Arial" w:hAnsi="Arial" w:cs="Arial"/>
        </w:rPr>
        <w:t>9.1 Summary………………………………………………………...Page 18</w:t>
      </w:r>
    </w:p>
    <w:p w14:paraId="70C0716C" w14:textId="77777777" w:rsidR="00FC2F96" w:rsidRDefault="00FC2F96" w:rsidP="00FC2F96">
      <w:pPr>
        <w:widowControl w:val="0"/>
        <w:autoSpaceDE w:val="0"/>
        <w:autoSpaceDN w:val="0"/>
        <w:adjustRightInd w:val="0"/>
        <w:ind w:firstLine="720"/>
        <w:rPr>
          <w:rFonts w:ascii="Arial" w:hAnsi="Arial" w:cs="Arial"/>
        </w:rPr>
      </w:pPr>
    </w:p>
    <w:p w14:paraId="66D4A471" w14:textId="061A00ED" w:rsidR="00FC2F96" w:rsidRPr="00FC2F96" w:rsidRDefault="00FC2F96" w:rsidP="005E5D90">
      <w:pPr>
        <w:widowControl w:val="0"/>
        <w:autoSpaceDE w:val="0"/>
        <w:autoSpaceDN w:val="0"/>
        <w:adjustRightInd w:val="0"/>
        <w:ind w:left="720"/>
        <w:jc w:val="both"/>
        <w:rPr>
          <w:rFonts w:ascii="Arial" w:hAnsi="Arial" w:cs="Arial"/>
        </w:rPr>
      </w:pPr>
      <w:r w:rsidRPr="00FC2F96">
        <w:rPr>
          <w:rFonts w:ascii="Arial" w:hAnsi="Arial" w:cs="Arial"/>
        </w:rPr>
        <w:t>9.2 Conclusion</w:t>
      </w:r>
      <w:r w:rsidR="005E5D90">
        <w:rPr>
          <w:rFonts w:ascii="Arial" w:hAnsi="Arial" w:cs="Arial"/>
        </w:rPr>
        <w:t xml:space="preserve">.…………………………………………. </w:t>
      </w:r>
      <w:r w:rsidR="00BE3FE6">
        <w:rPr>
          <w:rFonts w:ascii="Arial" w:hAnsi="Arial" w:cs="Arial"/>
        </w:rPr>
        <w:t>………….Page 19</w:t>
      </w:r>
    </w:p>
    <w:p w14:paraId="32B60C54" w14:textId="0D03D37A" w:rsidR="00FC2F96" w:rsidRPr="00B67945" w:rsidRDefault="00FC2F96" w:rsidP="00FC2F96">
      <w:pPr>
        <w:widowControl w:val="0"/>
        <w:autoSpaceDE w:val="0"/>
        <w:autoSpaceDN w:val="0"/>
        <w:adjustRightInd w:val="0"/>
        <w:ind w:firstLine="720"/>
        <w:rPr>
          <w:rFonts w:ascii="Arial" w:hAnsi="Arial" w:cs="Arial"/>
        </w:rPr>
      </w:pPr>
    </w:p>
    <w:p w14:paraId="6EB2AF11" w14:textId="77777777" w:rsidR="00250878" w:rsidRPr="00137C7F" w:rsidRDefault="00250878" w:rsidP="00B67945">
      <w:pPr>
        <w:widowControl w:val="0"/>
        <w:autoSpaceDE w:val="0"/>
        <w:autoSpaceDN w:val="0"/>
        <w:adjustRightInd w:val="0"/>
        <w:rPr>
          <w:rFonts w:ascii="Arial" w:hAnsi="Arial" w:cs="Arial"/>
        </w:rPr>
      </w:pPr>
    </w:p>
    <w:p w14:paraId="685EB473" w14:textId="77777777" w:rsidR="00250878" w:rsidRPr="00F75FAF" w:rsidRDefault="00250878" w:rsidP="00F75FAF">
      <w:pPr>
        <w:widowControl w:val="0"/>
        <w:autoSpaceDE w:val="0"/>
        <w:autoSpaceDN w:val="0"/>
        <w:adjustRightInd w:val="0"/>
        <w:rPr>
          <w:rFonts w:ascii="Arial" w:hAnsi="Arial" w:cs="Arial"/>
          <w:b/>
          <w:sz w:val="28"/>
        </w:rPr>
      </w:pPr>
    </w:p>
    <w:p w14:paraId="143D7BF1" w14:textId="77777777" w:rsidR="00250878" w:rsidRPr="00327B9E" w:rsidRDefault="00250878" w:rsidP="00327B9E">
      <w:pPr>
        <w:widowControl w:val="0"/>
        <w:autoSpaceDE w:val="0"/>
        <w:autoSpaceDN w:val="0"/>
        <w:adjustRightInd w:val="0"/>
        <w:spacing w:after="240"/>
        <w:rPr>
          <w:rFonts w:ascii="Arial" w:hAnsi="Arial" w:cs="Arial"/>
          <w:b/>
          <w:sz w:val="28"/>
        </w:rPr>
      </w:pPr>
    </w:p>
    <w:p w14:paraId="15C89010" w14:textId="77777777" w:rsidR="00250878" w:rsidRDefault="00250878" w:rsidP="001607D0">
      <w:pPr>
        <w:rPr>
          <w:rFonts w:ascii="Arial" w:hAnsi="Arial"/>
          <w:b/>
          <w:color w:val="0000FF"/>
          <w:sz w:val="28"/>
        </w:rPr>
      </w:pPr>
    </w:p>
    <w:p w14:paraId="4A4B828A" w14:textId="77777777" w:rsidR="00250878" w:rsidRDefault="00250878" w:rsidP="001607D0">
      <w:pPr>
        <w:rPr>
          <w:rFonts w:ascii="Arial" w:hAnsi="Arial"/>
          <w:b/>
          <w:color w:val="0000FF"/>
          <w:sz w:val="28"/>
        </w:rPr>
      </w:pPr>
    </w:p>
    <w:p w14:paraId="4DDBC1F9" w14:textId="77777777" w:rsidR="00250878" w:rsidRDefault="00250878" w:rsidP="001607D0">
      <w:pPr>
        <w:rPr>
          <w:rFonts w:ascii="Arial" w:hAnsi="Arial"/>
          <w:b/>
          <w:color w:val="0000FF"/>
          <w:sz w:val="28"/>
        </w:rPr>
      </w:pPr>
    </w:p>
    <w:p w14:paraId="2530E6D0" w14:textId="77777777" w:rsidR="00D21FDA" w:rsidRDefault="00D21FDA" w:rsidP="001607D0">
      <w:pPr>
        <w:rPr>
          <w:rFonts w:ascii="Arial" w:hAnsi="Arial" w:cs="Arial"/>
          <w:b/>
          <w:color w:val="943634"/>
          <w:sz w:val="28"/>
        </w:rPr>
      </w:pPr>
    </w:p>
    <w:p w14:paraId="7244B9AF" w14:textId="77777777" w:rsidR="00250878" w:rsidRPr="00F75FAF" w:rsidRDefault="00212AE9" w:rsidP="001607D0">
      <w:pPr>
        <w:rPr>
          <w:rFonts w:ascii="Arial" w:hAnsi="Arial" w:cs="Arial"/>
          <w:b/>
          <w:color w:val="943634"/>
          <w:sz w:val="28"/>
        </w:rPr>
      </w:pPr>
      <w:r>
        <w:rPr>
          <w:rFonts w:ascii="Arial" w:hAnsi="Arial" w:cs="Arial"/>
          <w:b/>
          <w:color w:val="943634"/>
          <w:sz w:val="28"/>
        </w:rPr>
        <w:lastRenderedPageBreak/>
        <w:t xml:space="preserve">1. </w:t>
      </w:r>
      <w:r w:rsidR="00250878" w:rsidRPr="00F75FAF">
        <w:rPr>
          <w:rFonts w:ascii="Arial" w:hAnsi="Arial" w:cs="Arial"/>
          <w:b/>
          <w:color w:val="943634"/>
          <w:sz w:val="28"/>
        </w:rPr>
        <w:t>Introduction</w:t>
      </w:r>
    </w:p>
    <w:p w14:paraId="51946230" w14:textId="77777777" w:rsidR="00250878" w:rsidRPr="00F75FAF" w:rsidRDefault="00250878" w:rsidP="00B20270">
      <w:pPr>
        <w:rPr>
          <w:rFonts w:ascii="Arial" w:hAnsi="Arial" w:cs="Arial"/>
          <w:color w:val="0000FF"/>
        </w:rPr>
      </w:pPr>
    </w:p>
    <w:p w14:paraId="4487AFC4" w14:textId="77777777" w:rsidR="00250878" w:rsidRPr="00F75FAF" w:rsidRDefault="00250878" w:rsidP="00327B9E">
      <w:pPr>
        <w:jc w:val="both"/>
        <w:rPr>
          <w:rFonts w:ascii="Arial" w:hAnsi="Arial" w:cs="Arial"/>
        </w:rPr>
      </w:pPr>
      <w:r w:rsidRPr="00F75FAF">
        <w:rPr>
          <w:rFonts w:ascii="Arial" w:hAnsi="Arial" w:cs="Arial"/>
        </w:rPr>
        <w:t>This paper considers whether there is a trend towards employers becoming ‘facilitators’ of benefit provision in the workplace rather than ‘funders’. It also considers briefly the changing landscape with regard to self-employment.</w:t>
      </w:r>
    </w:p>
    <w:p w14:paraId="246ED45C" w14:textId="77777777" w:rsidR="00250878" w:rsidRPr="00F75FAF" w:rsidRDefault="00250878" w:rsidP="00327B9E">
      <w:pPr>
        <w:jc w:val="both"/>
        <w:rPr>
          <w:rFonts w:ascii="Arial" w:hAnsi="Arial" w:cs="Arial"/>
        </w:rPr>
      </w:pPr>
    </w:p>
    <w:p w14:paraId="4AD5A550" w14:textId="77777777" w:rsidR="00250878" w:rsidRPr="00F75FAF" w:rsidRDefault="00250878" w:rsidP="00327B9E">
      <w:pPr>
        <w:jc w:val="both"/>
        <w:rPr>
          <w:rFonts w:ascii="Arial" w:hAnsi="Arial" w:cs="Arial"/>
        </w:rPr>
      </w:pPr>
      <w:r w:rsidRPr="00F75FAF">
        <w:rPr>
          <w:rFonts w:ascii="Arial" w:hAnsi="Arial" w:cs="Arial"/>
        </w:rPr>
        <w:t>So-called ‘voluntary’ benefits are nothing new – employers have been offering insurance themed products to employees since the early years of the 20</w:t>
      </w:r>
      <w:r w:rsidRPr="00F75FAF">
        <w:rPr>
          <w:rFonts w:ascii="Arial" w:hAnsi="Arial" w:cs="Arial"/>
          <w:vertAlign w:val="superscript"/>
        </w:rPr>
        <w:t>th</w:t>
      </w:r>
      <w:r w:rsidRPr="00F75FAF">
        <w:rPr>
          <w:rFonts w:ascii="Arial" w:hAnsi="Arial" w:cs="Arial"/>
        </w:rPr>
        <w:t xml:space="preserve"> Century. These have ranged from covers related to accident or injury (which were relatively inexpensive) to, later, more sophisticated offerings such as Private Medical Insurance. Take-up varied greatly and was influenced, not only by price, but other factors such as the effectiveness of communications, union involvement, tax treatment and the demographics of the workforce.</w:t>
      </w:r>
    </w:p>
    <w:p w14:paraId="0133CA61" w14:textId="77777777" w:rsidR="00250878" w:rsidRPr="00F75FAF" w:rsidRDefault="00250878" w:rsidP="00327B9E">
      <w:pPr>
        <w:jc w:val="both"/>
        <w:rPr>
          <w:rFonts w:ascii="Arial" w:hAnsi="Arial" w:cs="Arial"/>
        </w:rPr>
      </w:pPr>
    </w:p>
    <w:p w14:paraId="3AE79653" w14:textId="77777777" w:rsidR="00250878" w:rsidRPr="00F75FAF" w:rsidRDefault="00250878" w:rsidP="00327B9E">
      <w:pPr>
        <w:jc w:val="both"/>
        <w:rPr>
          <w:rFonts w:ascii="Arial" w:hAnsi="Arial" w:cs="Arial"/>
        </w:rPr>
      </w:pPr>
      <w:r w:rsidRPr="00F75FAF">
        <w:rPr>
          <w:rFonts w:ascii="Arial" w:hAnsi="Arial" w:cs="Arial"/>
        </w:rPr>
        <w:t>Frequently these offerings were seen as complementary to what might be described as ‘traditional’ employee benefits paid for (primarily) by the employer, such as a pension scheme and death in service benefits. More fortunate employees (often those in senior positions) sometimes enjoyed Group Private Medical Insurance and Income Protection cover. The former was even more highly valued if scheme membership had been extended to spouses and children.</w:t>
      </w:r>
    </w:p>
    <w:p w14:paraId="617EB2A3" w14:textId="77777777" w:rsidR="00250878" w:rsidRPr="00F75FAF" w:rsidRDefault="00250878" w:rsidP="00327B9E">
      <w:pPr>
        <w:jc w:val="both"/>
        <w:rPr>
          <w:rFonts w:ascii="Arial" w:hAnsi="Arial" w:cs="Arial"/>
        </w:rPr>
      </w:pPr>
    </w:p>
    <w:p w14:paraId="5497FD44" w14:textId="77777777" w:rsidR="00250878" w:rsidRPr="00F75FAF" w:rsidRDefault="00250878" w:rsidP="00327B9E">
      <w:pPr>
        <w:jc w:val="both"/>
        <w:rPr>
          <w:rFonts w:ascii="Arial" w:hAnsi="Arial" w:cs="Arial"/>
        </w:rPr>
      </w:pPr>
      <w:r w:rsidRPr="00F75FAF">
        <w:rPr>
          <w:rFonts w:ascii="Arial" w:hAnsi="Arial" w:cs="Arial"/>
        </w:rPr>
        <w:t xml:space="preserve">Over the last 30 years, however, fundamental changes have come about that have completely disrupted the old model which served employers well in the past. </w:t>
      </w:r>
    </w:p>
    <w:p w14:paraId="65DC02AD" w14:textId="77777777" w:rsidR="00250878" w:rsidRPr="00F75FAF" w:rsidRDefault="00250878" w:rsidP="00327B9E">
      <w:pPr>
        <w:jc w:val="both"/>
        <w:rPr>
          <w:rFonts w:ascii="Arial" w:hAnsi="Arial" w:cs="Arial"/>
        </w:rPr>
      </w:pPr>
    </w:p>
    <w:p w14:paraId="445F930B" w14:textId="77777777" w:rsidR="00250878" w:rsidRDefault="00250878" w:rsidP="00327B9E">
      <w:pPr>
        <w:jc w:val="both"/>
        <w:rPr>
          <w:rFonts w:ascii="Arial" w:hAnsi="Arial" w:cs="Arial"/>
        </w:rPr>
      </w:pPr>
      <w:r w:rsidRPr="00F75FAF">
        <w:rPr>
          <w:rFonts w:ascii="Arial" w:hAnsi="Arial" w:cs="Arial"/>
        </w:rPr>
        <w:t>This paper considers what evidence exists to support the ‘facilitation’ argument and draws on as much published information as the author has been able to access. No doubt more data exist either in support or refutation of the argument, and so this offering is very much intended to provoke discussion and debate rather than be a definitive statement of current benefits practice.</w:t>
      </w:r>
    </w:p>
    <w:p w14:paraId="13064863" w14:textId="77777777" w:rsidR="00D61F5A" w:rsidRDefault="00D61F5A" w:rsidP="00327B9E">
      <w:pPr>
        <w:jc w:val="both"/>
        <w:rPr>
          <w:rFonts w:ascii="Arial" w:hAnsi="Arial" w:cs="Arial"/>
        </w:rPr>
      </w:pPr>
    </w:p>
    <w:p w14:paraId="7313A91F" w14:textId="1F565B4A" w:rsidR="00D61F5A" w:rsidRDefault="00D61F5A" w:rsidP="00327B9E">
      <w:pPr>
        <w:jc w:val="both"/>
        <w:rPr>
          <w:rFonts w:ascii="Arial" w:hAnsi="Arial" w:cs="Arial"/>
        </w:rPr>
      </w:pPr>
      <w:r>
        <w:rPr>
          <w:rFonts w:ascii="Arial" w:hAnsi="Arial" w:cs="Arial"/>
        </w:rPr>
        <w:t>The views expressed in this paper are personal to the author and do not reflect the views of the ILAG Workplace Benefits Group or ILAG as a whole.</w:t>
      </w:r>
    </w:p>
    <w:p w14:paraId="536B5B3A" w14:textId="77777777" w:rsidR="00D61F5A" w:rsidRDefault="00D61F5A" w:rsidP="00327B9E">
      <w:pPr>
        <w:jc w:val="both"/>
        <w:rPr>
          <w:rFonts w:ascii="Arial" w:hAnsi="Arial" w:cs="Arial"/>
        </w:rPr>
      </w:pPr>
    </w:p>
    <w:p w14:paraId="58979A6F" w14:textId="77777777" w:rsidR="00D61F5A" w:rsidRDefault="00D61F5A" w:rsidP="00327B9E">
      <w:pPr>
        <w:jc w:val="both"/>
        <w:rPr>
          <w:rFonts w:ascii="Arial" w:hAnsi="Arial" w:cs="Arial"/>
        </w:rPr>
      </w:pPr>
    </w:p>
    <w:p w14:paraId="4B0C7069" w14:textId="77777777" w:rsidR="00D61F5A" w:rsidRDefault="00D61F5A" w:rsidP="00327B9E">
      <w:pPr>
        <w:jc w:val="both"/>
        <w:rPr>
          <w:rFonts w:ascii="Arial" w:hAnsi="Arial" w:cs="Arial"/>
        </w:rPr>
      </w:pPr>
    </w:p>
    <w:p w14:paraId="37414F0D" w14:textId="7F4CA114" w:rsidR="00D61F5A" w:rsidRDefault="00D61F5A" w:rsidP="00327B9E">
      <w:pPr>
        <w:jc w:val="both"/>
        <w:rPr>
          <w:rFonts w:ascii="Arial" w:hAnsi="Arial" w:cs="Arial"/>
        </w:rPr>
      </w:pPr>
      <w:r>
        <w:rPr>
          <w:rFonts w:ascii="Arial" w:hAnsi="Arial" w:cs="Arial"/>
        </w:rPr>
        <w:t>John Gillman – May 2015</w:t>
      </w:r>
    </w:p>
    <w:p w14:paraId="092996A3" w14:textId="77777777" w:rsidR="001B2AEC" w:rsidRDefault="001B2AEC" w:rsidP="00327B9E">
      <w:pPr>
        <w:jc w:val="both"/>
        <w:rPr>
          <w:rFonts w:ascii="Arial" w:hAnsi="Arial" w:cs="Arial"/>
        </w:rPr>
      </w:pPr>
    </w:p>
    <w:p w14:paraId="1B84AB95" w14:textId="4AE77FEF" w:rsidR="001B2AEC" w:rsidRDefault="001B2AEC" w:rsidP="00327B9E">
      <w:pPr>
        <w:jc w:val="both"/>
        <w:rPr>
          <w:rFonts w:ascii="Arial" w:hAnsi="Arial" w:cs="Arial"/>
        </w:rPr>
      </w:pPr>
      <w:r>
        <w:rPr>
          <w:rFonts w:ascii="Arial" w:hAnsi="Arial" w:cs="Arial"/>
        </w:rPr>
        <w:t xml:space="preserve">Copyright - </w:t>
      </w:r>
      <w:bookmarkStart w:id="0" w:name="_GoBack"/>
      <w:bookmarkEnd w:id="0"/>
      <w:r>
        <w:rPr>
          <w:rFonts w:ascii="Arial" w:hAnsi="Arial" w:cs="Arial"/>
        </w:rPr>
        <w:t xml:space="preserve">John Gillman </w:t>
      </w:r>
    </w:p>
    <w:p w14:paraId="48287708" w14:textId="77777777" w:rsidR="00D61F5A" w:rsidRDefault="00D61F5A" w:rsidP="00327B9E">
      <w:pPr>
        <w:jc w:val="both"/>
        <w:rPr>
          <w:rFonts w:ascii="Arial" w:hAnsi="Arial" w:cs="Arial"/>
        </w:rPr>
      </w:pPr>
    </w:p>
    <w:p w14:paraId="3CA6055C" w14:textId="77777777" w:rsidR="00D61F5A" w:rsidRPr="00F75FAF" w:rsidRDefault="00D61F5A" w:rsidP="00327B9E">
      <w:pPr>
        <w:jc w:val="both"/>
        <w:rPr>
          <w:rFonts w:ascii="Arial" w:hAnsi="Arial" w:cs="Arial"/>
        </w:rPr>
      </w:pPr>
    </w:p>
    <w:p w14:paraId="2198F1ED" w14:textId="77777777" w:rsidR="00250878" w:rsidRPr="00F75FAF" w:rsidRDefault="00250878" w:rsidP="001607D0">
      <w:pPr>
        <w:rPr>
          <w:rFonts w:ascii="Arial" w:hAnsi="Arial" w:cs="Arial"/>
        </w:rPr>
      </w:pPr>
    </w:p>
    <w:p w14:paraId="0385DE47" w14:textId="77777777" w:rsidR="00E514E0" w:rsidRDefault="00E514E0" w:rsidP="001607D0">
      <w:pPr>
        <w:rPr>
          <w:rFonts w:ascii="Arial" w:hAnsi="Arial" w:cs="Arial"/>
          <w:b/>
          <w:color w:val="943634"/>
          <w:sz w:val="28"/>
        </w:rPr>
      </w:pPr>
    </w:p>
    <w:p w14:paraId="41AD00B7" w14:textId="77777777" w:rsidR="00E514E0" w:rsidRDefault="00E514E0" w:rsidP="001607D0">
      <w:pPr>
        <w:rPr>
          <w:rFonts w:ascii="Arial" w:hAnsi="Arial" w:cs="Arial"/>
          <w:b/>
          <w:color w:val="943634"/>
          <w:sz w:val="28"/>
        </w:rPr>
      </w:pPr>
    </w:p>
    <w:p w14:paraId="198FDFBB" w14:textId="77777777" w:rsidR="00C61D00" w:rsidRDefault="00C61D00" w:rsidP="001607D0">
      <w:pPr>
        <w:rPr>
          <w:rFonts w:ascii="Arial" w:hAnsi="Arial" w:cs="Arial"/>
          <w:b/>
          <w:color w:val="943634"/>
          <w:sz w:val="28"/>
        </w:rPr>
      </w:pPr>
    </w:p>
    <w:p w14:paraId="50092B87" w14:textId="77777777" w:rsidR="000841F7" w:rsidRDefault="000841F7" w:rsidP="001607D0">
      <w:pPr>
        <w:rPr>
          <w:rFonts w:ascii="Arial" w:hAnsi="Arial" w:cs="Arial"/>
          <w:b/>
          <w:color w:val="943634"/>
          <w:sz w:val="28"/>
        </w:rPr>
      </w:pPr>
    </w:p>
    <w:p w14:paraId="25014BCB" w14:textId="77777777" w:rsidR="00E514E0" w:rsidRDefault="00E514E0" w:rsidP="001607D0">
      <w:pPr>
        <w:rPr>
          <w:rFonts w:ascii="Arial" w:hAnsi="Arial" w:cs="Arial"/>
          <w:b/>
          <w:color w:val="943634"/>
          <w:sz w:val="28"/>
        </w:rPr>
      </w:pPr>
    </w:p>
    <w:p w14:paraId="4C3D59EB" w14:textId="77777777" w:rsidR="00250878" w:rsidRPr="00F75FAF" w:rsidRDefault="00212AE9" w:rsidP="001607D0">
      <w:pPr>
        <w:rPr>
          <w:rFonts w:ascii="Arial" w:hAnsi="Arial" w:cs="Arial"/>
          <w:b/>
          <w:color w:val="943634"/>
          <w:sz w:val="28"/>
        </w:rPr>
      </w:pPr>
      <w:r>
        <w:rPr>
          <w:rFonts w:ascii="Arial" w:hAnsi="Arial" w:cs="Arial"/>
          <w:b/>
          <w:color w:val="943634"/>
          <w:sz w:val="28"/>
        </w:rPr>
        <w:lastRenderedPageBreak/>
        <w:t xml:space="preserve">2. </w:t>
      </w:r>
      <w:r w:rsidR="00250878">
        <w:rPr>
          <w:rFonts w:ascii="Arial" w:hAnsi="Arial" w:cs="Arial"/>
          <w:b/>
          <w:color w:val="943634"/>
          <w:sz w:val="28"/>
        </w:rPr>
        <w:t>Employment S</w:t>
      </w:r>
      <w:r w:rsidR="00250878" w:rsidRPr="00F75FAF">
        <w:rPr>
          <w:rFonts w:ascii="Arial" w:hAnsi="Arial" w:cs="Arial"/>
          <w:b/>
          <w:color w:val="943634"/>
          <w:sz w:val="28"/>
        </w:rPr>
        <w:t>tatistics</w:t>
      </w:r>
      <w:r w:rsidR="00250878" w:rsidRPr="00F75FAF">
        <w:rPr>
          <w:rStyle w:val="FootnoteReference"/>
          <w:rFonts w:ascii="Arial" w:hAnsi="Arial" w:cs="Arial"/>
          <w:b/>
          <w:color w:val="943634"/>
          <w:sz w:val="28"/>
        </w:rPr>
        <w:footnoteReference w:id="1"/>
      </w:r>
    </w:p>
    <w:p w14:paraId="68AF635C" w14:textId="77777777" w:rsidR="00250878" w:rsidRPr="00F75FAF" w:rsidRDefault="00250878" w:rsidP="001607D0">
      <w:pPr>
        <w:rPr>
          <w:rFonts w:ascii="Arial" w:hAnsi="Arial" w:cs="Arial"/>
        </w:rPr>
      </w:pPr>
    </w:p>
    <w:p w14:paraId="2B83BC34" w14:textId="77777777" w:rsidR="00250878" w:rsidRPr="00F75FAF" w:rsidRDefault="00250878" w:rsidP="00327B9E">
      <w:pPr>
        <w:jc w:val="both"/>
        <w:rPr>
          <w:rFonts w:ascii="Arial" w:hAnsi="Arial" w:cs="Arial"/>
        </w:rPr>
      </w:pPr>
      <w:r w:rsidRPr="00F75FAF">
        <w:rPr>
          <w:rFonts w:ascii="Arial" w:hAnsi="Arial" w:cs="Arial"/>
        </w:rPr>
        <w:t xml:space="preserve">In 2014, there were 5.2 million businesses in the UK of which over 99% were small or medium sized (i.e. employing 0-249 people). About five million of these were micro-businesses (employing 0-9 people) and they accounted for 33% of employment and 19% of turnover. </w:t>
      </w:r>
    </w:p>
    <w:p w14:paraId="77D7F36D" w14:textId="77777777" w:rsidR="00250878" w:rsidRPr="00F75FAF" w:rsidRDefault="00250878" w:rsidP="00327B9E">
      <w:pPr>
        <w:jc w:val="both"/>
        <w:rPr>
          <w:rFonts w:ascii="Arial" w:hAnsi="Arial" w:cs="Arial"/>
        </w:rPr>
      </w:pPr>
    </w:p>
    <w:p w14:paraId="32A282F3" w14:textId="77777777" w:rsidR="00250878" w:rsidRPr="00F75FAF" w:rsidRDefault="00250878" w:rsidP="00327B9E">
      <w:pPr>
        <w:jc w:val="both"/>
        <w:rPr>
          <w:rFonts w:ascii="Arial" w:hAnsi="Arial" w:cs="Arial"/>
        </w:rPr>
      </w:pPr>
      <w:r w:rsidRPr="00F75FAF">
        <w:rPr>
          <w:rFonts w:ascii="Arial" w:hAnsi="Arial" w:cs="Arial"/>
        </w:rPr>
        <w:t>The service industries accounted for 73% of businesses, 79% of employment and 70% of turnover. The manufacturing sector accounted for 5% of businesses, 10% of employment and 16% of turnover. In 2013 there were 346,000 business births and 238,000 business deaths.</w:t>
      </w:r>
    </w:p>
    <w:p w14:paraId="1F8682EA" w14:textId="77777777" w:rsidR="00250878" w:rsidRPr="00F75FAF" w:rsidRDefault="00250878" w:rsidP="00327B9E">
      <w:pPr>
        <w:jc w:val="both"/>
        <w:rPr>
          <w:rFonts w:ascii="Arial" w:hAnsi="Arial" w:cs="Arial"/>
        </w:rPr>
      </w:pPr>
    </w:p>
    <w:p w14:paraId="06590E4C"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Since 2000, the number of businesses in the UK has increased each year, by around 3% on average. In 2014, there were 1.8 million more businesses than in 2000, an increase of around 51% over this period. This is the first time ever that there have been more than five million businesses in the UK (an increase of 330,000 since 2013).</w:t>
      </w:r>
    </w:p>
    <w:p w14:paraId="2186316F"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The proportion of businesses that employ people has fallen since 2000 from around a third, to around a quarter. This decline in the number of employers as a proportion of all businesses is due to the growth in self-employment: the number of sole proprietorships (businesses with no employees) has grown faster than the number of all businesses.</w:t>
      </w:r>
    </w:p>
    <w:p w14:paraId="34232F2A"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The number of businesses with no employees has grown by 68% since 2000, compared with growth of 51% in the total number of businesses.</w:t>
      </w:r>
    </w:p>
    <w:p w14:paraId="44D52ECE" w14:textId="77777777" w:rsidR="00E514E0" w:rsidRDefault="00E514E0" w:rsidP="00B27493">
      <w:pPr>
        <w:widowControl w:val="0"/>
        <w:autoSpaceDE w:val="0"/>
        <w:autoSpaceDN w:val="0"/>
        <w:adjustRightInd w:val="0"/>
        <w:spacing w:after="240"/>
        <w:rPr>
          <w:rFonts w:ascii="Arial" w:hAnsi="Arial" w:cs="Arial"/>
          <w:b/>
          <w:color w:val="943634"/>
          <w:sz w:val="28"/>
        </w:rPr>
      </w:pPr>
    </w:p>
    <w:p w14:paraId="417178CA" w14:textId="77777777" w:rsidR="00E514E0" w:rsidRDefault="00E514E0" w:rsidP="00B27493">
      <w:pPr>
        <w:widowControl w:val="0"/>
        <w:autoSpaceDE w:val="0"/>
        <w:autoSpaceDN w:val="0"/>
        <w:adjustRightInd w:val="0"/>
        <w:spacing w:after="240"/>
        <w:rPr>
          <w:rFonts w:ascii="Arial" w:hAnsi="Arial" w:cs="Arial"/>
          <w:b/>
          <w:color w:val="943634"/>
          <w:sz w:val="28"/>
        </w:rPr>
      </w:pPr>
    </w:p>
    <w:p w14:paraId="3933C310" w14:textId="77777777" w:rsidR="00E514E0" w:rsidRDefault="00E514E0" w:rsidP="00B27493">
      <w:pPr>
        <w:widowControl w:val="0"/>
        <w:autoSpaceDE w:val="0"/>
        <w:autoSpaceDN w:val="0"/>
        <w:adjustRightInd w:val="0"/>
        <w:spacing w:after="240"/>
        <w:rPr>
          <w:rFonts w:ascii="Arial" w:hAnsi="Arial" w:cs="Arial"/>
          <w:b/>
          <w:color w:val="943634"/>
          <w:sz w:val="28"/>
        </w:rPr>
      </w:pPr>
    </w:p>
    <w:p w14:paraId="11CF02F3" w14:textId="77777777" w:rsidR="00E514E0" w:rsidRDefault="00E514E0" w:rsidP="00B27493">
      <w:pPr>
        <w:widowControl w:val="0"/>
        <w:autoSpaceDE w:val="0"/>
        <w:autoSpaceDN w:val="0"/>
        <w:adjustRightInd w:val="0"/>
        <w:spacing w:after="240"/>
        <w:rPr>
          <w:rFonts w:ascii="Arial" w:hAnsi="Arial" w:cs="Arial"/>
          <w:b/>
          <w:color w:val="943634"/>
          <w:sz w:val="28"/>
        </w:rPr>
      </w:pPr>
    </w:p>
    <w:p w14:paraId="4DB0D85A" w14:textId="77777777" w:rsidR="00E514E0" w:rsidRDefault="00E514E0" w:rsidP="00B27493">
      <w:pPr>
        <w:widowControl w:val="0"/>
        <w:autoSpaceDE w:val="0"/>
        <w:autoSpaceDN w:val="0"/>
        <w:adjustRightInd w:val="0"/>
        <w:spacing w:after="240"/>
        <w:rPr>
          <w:rFonts w:ascii="Arial" w:hAnsi="Arial" w:cs="Arial"/>
          <w:b/>
          <w:color w:val="943634"/>
          <w:sz w:val="28"/>
        </w:rPr>
      </w:pPr>
    </w:p>
    <w:p w14:paraId="1468D7C1" w14:textId="77777777" w:rsidR="00E514E0" w:rsidRDefault="00E514E0" w:rsidP="00B27493">
      <w:pPr>
        <w:widowControl w:val="0"/>
        <w:autoSpaceDE w:val="0"/>
        <w:autoSpaceDN w:val="0"/>
        <w:adjustRightInd w:val="0"/>
        <w:spacing w:after="240"/>
        <w:rPr>
          <w:rFonts w:ascii="Arial" w:hAnsi="Arial" w:cs="Arial"/>
          <w:b/>
          <w:color w:val="943634"/>
          <w:sz w:val="28"/>
        </w:rPr>
      </w:pPr>
    </w:p>
    <w:p w14:paraId="1529BF8A" w14:textId="77777777" w:rsidR="00E514E0" w:rsidRDefault="00E514E0" w:rsidP="00B27493">
      <w:pPr>
        <w:widowControl w:val="0"/>
        <w:autoSpaceDE w:val="0"/>
        <w:autoSpaceDN w:val="0"/>
        <w:adjustRightInd w:val="0"/>
        <w:spacing w:after="240"/>
        <w:rPr>
          <w:rFonts w:ascii="Arial" w:hAnsi="Arial" w:cs="Arial"/>
          <w:b/>
          <w:color w:val="943634"/>
          <w:sz w:val="28"/>
        </w:rPr>
      </w:pPr>
    </w:p>
    <w:p w14:paraId="7DA5BBFD" w14:textId="77777777" w:rsidR="00E514E0" w:rsidRDefault="00E514E0" w:rsidP="00B27493">
      <w:pPr>
        <w:widowControl w:val="0"/>
        <w:autoSpaceDE w:val="0"/>
        <w:autoSpaceDN w:val="0"/>
        <w:adjustRightInd w:val="0"/>
        <w:spacing w:after="240"/>
        <w:rPr>
          <w:rFonts w:ascii="Arial" w:hAnsi="Arial" w:cs="Arial"/>
          <w:b/>
          <w:color w:val="943634"/>
          <w:sz w:val="28"/>
        </w:rPr>
      </w:pPr>
    </w:p>
    <w:p w14:paraId="5A29D537" w14:textId="77777777" w:rsidR="00E514E0" w:rsidRDefault="00E514E0" w:rsidP="00B27493">
      <w:pPr>
        <w:widowControl w:val="0"/>
        <w:autoSpaceDE w:val="0"/>
        <w:autoSpaceDN w:val="0"/>
        <w:adjustRightInd w:val="0"/>
        <w:spacing w:after="240"/>
        <w:rPr>
          <w:rFonts w:ascii="Arial" w:hAnsi="Arial" w:cs="Arial"/>
          <w:b/>
          <w:color w:val="943634"/>
          <w:sz w:val="28"/>
        </w:rPr>
      </w:pPr>
    </w:p>
    <w:p w14:paraId="11E58603" w14:textId="77777777" w:rsidR="00E514E0" w:rsidRDefault="00E514E0" w:rsidP="00B27493">
      <w:pPr>
        <w:widowControl w:val="0"/>
        <w:autoSpaceDE w:val="0"/>
        <w:autoSpaceDN w:val="0"/>
        <w:adjustRightInd w:val="0"/>
        <w:spacing w:after="240"/>
        <w:rPr>
          <w:rFonts w:ascii="Arial" w:hAnsi="Arial" w:cs="Arial"/>
          <w:b/>
          <w:color w:val="943634"/>
          <w:sz w:val="28"/>
        </w:rPr>
      </w:pPr>
    </w:p>
    <w:p w14:paraId="5C4A4083" w14:textId="77777777" w:rsidR="00250878" w:rsidRPr="00F75FAF" w:rsidRDefault="00212AE9" w:rsidP="00B27493">
      <w:pPr>
        <w:widowControl w:val="0"/>
        <w:autoSpaceDE w:val="0"/>
        <w:autoSpaceDN w:val="0"/>
        <w:adjustRightInd w:val="0"/>
        <w:spacing w:after="240"/>
        <w:rPr>
          <w:rFonts w:ascii="Arial" w:hAnsi="Arial" w:cs="Arial"/>
          <w:b/>
          <w:color w:val="943634"/>
          <w:sz w:val="28"/>
        </w:rPr>
      </w:pPr>
      <w:r>
        <w:rPr>
          <w:rFonts w:ascii="Arial" w:hAnsi="Arial" w:cs="Arial"/>
          <w:b/>
          <w:color w:val="943634"/>
          <w:sz w:val="28"/>
        </w:rPr>
        <w:lastRenderedPageBreak/>
        <w:t xml:space="preserve">3. </w:t>
      </w:r>
      <w:r w:rsidR="00250878" w:rsidRPr="00F75FAF">
        <w:rPr>
          <w:rFonts w:ascii="Arial" w:hAnsi="Arial" w:cs="Arial"/>
          <w:b/>
          <w:color w:val="943634"/>
          <w:sz w:val="28"/>
        </w:rPr>
        <w:t xml:space="preserve">Changes in the </w:t>
      </w:r>
      <w:r w:rsidR="00250878">
        <w:rPr>
          <w:rFonts w:ascii="Arial" w:hAnsi="Arial" w:cs="Arial"/>
          <w:b/>
          <w:color w:val="943634"/>
          <w:sz w:val="28"/>
        </w:rPr>
        <w:t>O</w:t>
      </w:r>
      <w:r w:rsidR="00250878" w:rsidRPr="00F75FAF">
        <w:rPr>
          <w:rFonts w:ascii="Arial" w:hAnsi="Arial" w:cs="Arial"/>
          <w:b/>
          <w:color w:val="943634"/>
          <w:sz w:val="28"/>
        </w:rPr>
        <w:t xml:space="preserve">bjectives of </w:t>
      </w:r>
      <w:r w:rsidR="00250878">
        <w:rPr>
          <w:rFonts w:ascii="Arial" w:hAnsi="Arial" w:cs="Arial"/>
          <w:b/>
          <w:color w:val="943634"/>
          <w:sz w:val="28"/>
        </w:rPr>
        <w:t>E</w:t>
      </w:r>
      <w:r w:rsidR="00250878" w:rsidRPr="00F75FAF">
        <w:rPr>
          <w:rFonts w:ascii="Arial" w:hAnsi="Arial" w:cs="Arial"/>
          <w:b/>
          <w:color w:val="943634"/>
          <w:sz w:val="28"/>
        </w:rPr>
        <w:t xml:space="preserve">mployee </w:t>
      </w:r>
      <w:r w:rsidR="00250878">
        <w:rPr>
          <w:rFonts w:ascii="Arial" w:hAnsi="Arial" w:cs="Arial"/>
          <w:b/>
          <w:color w:val="943634"/>
          <w:sz w:val="28"/>
        </w:rPr>
        <w:t>B</w:t>
      </w:r>
      <w:r w:rsidR="00250878" w:rsidRPr="00F75FAF">
        <w:rPr>
          <w:rFonts w:ascii="Arial" w:hAnsi="Arial" w:cs="Arial"/>
          <w:b/>
          <w:color w:val="943634"/>
          <w:sz w:val="28"/>
        </w:rPr>
        <w:t>enefits</w:t>
      </w:r>
    </w:p>
    <w:p w14:paraId="2799CB64" w14:textId="77777777" w:rsidR="00250878" w:rsidRPr="00F75FAF" w:rsidRDefault="00250878" w:rsidP="00B27493">
      <w:pPr>
        <w:widowControl w:val="0"/>
        <w:autoSpaceDE w:val="0"/>
        <w:autoSpaceDN w:val="0"/>
        <w:adjustRightInd w:val="0"/>
        <w:spacing w:after="240"/>
        <w:rPr>
          <w:rFonts w:ascii="Arial" w:hAnsi="Arial" w:cs="Arial"/>
        </w:rPr>
      </w:pPr>
      <w:r w:rsidRPr="00F75FAF">
        <w:rPr>
          <w:rFonts w:ascii="Arial" w:hAnsi="Arial" w:cs="Arial"/>
        </w:rPr>
        <w:t>The reasons behind employers providing employee benefits of any kind have changed over the years</w:t>
      </w:r>
      <w:r w:rsidRPr="00F75FAF">
        <w:rPr>
          <w:rStyle w:val="FootnoteReference"/>
          <w:rFonts w:ascii="Arial" w:hAnsi="Arial" w:cs="Arial"/>
        </w:rPr>
        <w:footnoteReference w:id="2"/>
      </w:r>
      <w:r w:rsidRPr="00F75FAF">
        <w:rPr>
          <w:rFonts w:ascii="Arial" w:hAnsi="Arial" w:cs="Arial"/>
        </w:rPr>
        <w:t>:</w:t>
      </w:r>
    </w:p>
    <w:p w14:paraId="521C8116" w14:textId="77777777" w:rsidR="00250878" w:rsidRDefault="00250878" w:rsidP="00327B9E">
      <w:pPr>
        <w:pStyle w:val="ListParagraph"/>
        <w:widowControl w:val="0"/>
        <w:numPr>
          <w:ilvl w:val="0"/>
          <w:numId w:val="2"/>
        </w:numPr>
        <w:autoSpaceDE w:val="0"/>
        <w:autoSpaceDN w:val="0"/>
        <w:adjustRightInd w:val="0"/>
        <w:spacing w:after="240"/>
        <w:jc w:val="both"/>
        <w:rPr>
          <w:rFonts w:ascii="Arial" w:hAnsi="Arial" w:cs="Arial"/>
        </w:rPr>
      </w:pPr>
      <w:r w:rsidRPr="00F75FAF">
        <w:rPr>
          <w:rFonts w:ascii="Arial" w:hAnsi="Arial" w:cs="Arial"/>
        </w:rPr>
        <w:t>In the earliest days some employers offered benefits because they believed that their organisation had a moral duty to look after its employees, a policy commonly referred to as ‘paternalism’. The Quaker owned companies such as Fry and Cadbury come to mind.</w:t>
      </w:r>
    </w:p>
    <w:p w14:paraId="2A9106F4" w14:textId="77777777" w:rsidR="00D11DD2" w:rsidRPr="00F75FAF" w:rsidRDefault="00D11DD2" w:rsidP="00D11DD2">
      <w:pPr>
        <w:pStyle w:val="ListParagraph"/>
        <w:widowControl w:val="0"/>
        <w:autoSpaceDE w:val="0"/>
        <w:autoSpaceDN w:val="0"/>
        <w:adjustRightInd w:val="0"/>
        <w:spacing w:after="240"/>
        <w:jc w:val="both"/>
        <w:rPr>
          <w:rFonts w:ascii="Arial" w:hAnsi="Arial" w:cs="Arial"/>
        </w:rPr>
      </w:pPr>
    </w:p>
    <w:p w14:paraId="18C48FF1" w14:textId="77777777" w:rsidR="00250878" w:rsidRDefault="00250878" w:rsidP="00327B9E">
      <w:pPr>
        <w:pStyle w:val="ListParagraph"/>
        <w:widowControl w:val="0"/>
        <w:numPr>
          <w:ilvl w:val="0"/>
          <w:numId w:val="2"/>
        </w:numPr>
        <w:autoSpaceDE w:val="0"/>
        <w:autoSpaceDN w:val="0"/>
        <w:adjustRightInd w:val="0"/>
        <w:spacing w:after="240"/>
        <w:jc w:val="both"/>
        <w:rPr>
          <w:rFonts w:ascii="Arial" w:hAnsi="Arial" w:cs="Arial"/>
        </w:rPr>
      </w:pPr>
      <w:r w:rsidRPr="00F75FAF">
        <w:rPr>
          <w:rFonts w:ascii="Arial" w:hAnsi="Arial" w:cs="Arial"/>
        </w:rPr>
        <w:t>Gradually during the course of the last century benefits also became a tool for the attraction and retention of staff. A benefits ‘boom’ occurred during the 1970s, which was by no means totally due to a sudden outbreak of paternalism. The implementation of incomes policy controlling the growth of cash pay, combined with the high marginal taxation levels prevailing at that time, drove many employers to develop more generous benefits provisions, especially for senior staff, to circumvent the difficulties in rewarding employees via basic cash pay. Many of the schemes in operation today are ‘legacy’ arrangements dating from that time and it can prove difficult for employers to remove or downgrade certain benefits once they have become an established part of employee packages.</w:t>
      </w:r>
    </w:p>
    <w:p w14:paraId="47D2C719" w14:textId="77777777" w:rsidR="00D11DD2" w:rsidRPr="00D11DD2" w:rsidRDefault="00D11DD2" w:rsidP="00D11DD2">
      <w:pPr>
        <w:pStyle w:val="ListParagraph"/>
        <w:rPr>
          <w:rFonts w:ascii="Arial" w:hAnsi="Arial" w:cs="Arial"/>
        </w:rPr>
      </w:pPr>
    </w:p>
    <w:p w14:paraId="7C2CECE9" w14:textId="52E9C14F" w:rsidR="00250878" w:rsidRPr="00F75FAF" w:rsidRDefault="00250878" w:rsidP="00327B9E">
      <w:pPr>
        <w:pStyle w:val="ListParagraph"/>
        <w:widowControl w:val="0"/>
        <w:numPr>
          <w:ilvl w:val="0"/>
          <w:numId w:val="2"/>
        </w:numPr>
        <w:autoSpaceDE w:val="0"/>
        <w:autoSpaceDN w:val="0"/>
        <w:adjustRightInd w:val="0"/>
        <w:spacing w:after="240"/>
        <w:jc w:val="both"/>
        <w:rPr>
          <w:rFonts w:ascii="Arial" w:hAnsi="Arial" w:cs="Arial"/>
        </w:rPr>
      </w:pPr>
      <w:r w:rsidRPr="00F75FAF">
        <w:rPr>
          <w:rFonts w:ascii="Arial" w:hAnsi="Arial" w:cs="Arial"/>
        </w:rPr>
        <w:t xml:space="preserve">Increasingly, benefits are no longer regarded solely as a retention tool. Research indicates that there are many factors in an organisation’s employment proposition and that what makes them attractive might depend on the individual employee’s circumstances (such as age or caring responsibilities). This has led to the concept of ‘total </w:t>
      </w:r>
      <w:r w:rsidR="001524EB">
        <w:rPr>
          <w:rFonts w:ascii="Arial" w:hAnsi="Arial" w:cs="Arial"/>
        </w:rPr>
        <w:t>reward,’ i.e. that organisation</w:t>
      </w:r>
      <w:r w:rsidRPr="00F75FAF">
        <w:rPr>
          <w:rFonts w:ascii="Arial" w:hAnsi="Arial" w:cs="Arial"/>
        </w:rPr>
        <w:t>s should adopt a bundle of mutually supporting financial and non-financial rewards (such as flexi-time or home working) that are aligned to the needs of the organisation and its employees. Such an approach has led many employers to regard employee benefits as a strategic tool to assist with employee recruitment and retention and/or align employee behavio</w:t>
      </w:r>
      <w:r w:rsidR="001524EB">
        <w:rPr>
          <w:rFonts w:ascii="Arial" w:hAnsi="Arial" w:cs="Arial"/>
        </w:rPr>
        <w:t>u</w:t>
      </w:r>
      <w:r w:rsidRPr="00F75FAF">
        <w:rPr>
          <w:rFonts w:ascii="Arial" w:hAnsi="Arial" w:cs="Arial"/>
        </w:rPr>
        <w:t>rs with business objectives.</w:t>
      </w:r>
    </w:p>
    <w:p w14:paraId="628996E3" w14:textId="77777777" w:rsidR="00250878" w:rsidRPr="00F75FAF" w:rsidRDefault="00250878" w:rsidP="00327B9E">
      <w:pPr>
        <w:pStyle w:val="ListParagraph"/>
        <w:widowControl w:val="0"/>
        <w:autoSpaceDE w:val="0"/>
        <w:autoSpaceDN w:val="0"/>
        <w:adjustRightInd w:val="0"/>
        <w:spacing w:after="240"/>
        <w:jc w:val="both"/>
        <w:rPr>
          <w:rFonts w:ascii="Arial" w:hAnsi="Arial" w:cs="Arial"/>
        </w:rPr>
      </w:pPr>
    </w:p>
    <w:p w14:paraId="536E6033"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4C6D6748"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1C201E6F"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173C43AC"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7DFCCB90"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661A4859" w14:textId="77777777" w:rsidR="00250878" w:rsidRPr="00C87AF3" w:rsidRDefault="00212AE9" w:rsidP="00327B9E">
      <w:pPr>
        <w:widowControl w:val="0"/>
        <w:autoSpaceDE w:val="0"/>
        <w:autoSpaceDN w:val="0"/>
        <w:adjustRightInd w:val="0"/>
        <w:spacing w:after="240"/>
        <w:jc w:val="both"/>
        <w:rPr>
          <w:rFonts w:ascii="Arial" w:hAnsi="Arial" w:cs="Arial"/>
          <w:b/>
          <w:color w:val="943634"/>
          <w:sz w:val="28"/>
        </w:rPr>
      </w:pPr>
      <w:r>
        <w:rPr>
          <w:rFonts w:ascii="Arial" w:hAnsi="Arial" w:cs="Arial"/>
          <w:b/>
          <w:color w:val="943634"/>
          <w:sz w:val="28"/>
        </w:rPr>
        <w:lastRenderedPageBreak/>
        <w:t xml:space="preserve">4. </w:t>
      </w:r>
      <w:r w:rsidR="00250878" w:rsidRPr="00C87AF3">
        <w:rPr>
          <w:rFonts w:ascii="Arial" w:hAnsi="Arial" w:cs="Arial"/>
          <w:b/>
          <w:color w:val="943634"/>
          <w:sz w:val="28"/>
        </w:rPr>
        <w:t xml:space="preserve">Changing </w:t>
      </w:r>
      <w:r w:rsidR="00250878">
        <w:rPr>
          <w:rFonts w:ascii="Arial" w:hAnsi="Arial" w:cs="Arial"/>
          <w:b/>
          <w:color w:val="943634"/>
          <w:sz w:val="28"/>
        </w:rPr>
        <w:t>E</w:t>
      </w:r>
      <w:r w:rsidR="00250878" w:rsidRPr="00C87AF3">
        <w:rPr>
          <w:rFonts w:ascii="Arial" w:hAnsi="Arial" w:cs="Arial"/>
          <w:b/>
          <w:color w:val="943634"/>
          <w:sz w:val="28"/>
        </w:rPr>
        <w:t xml:space="preserve">mployer </w:t>
      </w:r>
      <w:r w:rsidR="00250878">
        <w:rPr>
          <w:rFonts w:ascii="Arial" w:hAnsi="Arial" w:cs="Arial"/>
          <w:b/>
          <w:color w:val="943634"/>
          <w:sz w:val="28"/>
        </w:rPr>
        <w:t>A</w:t>
      </w:r>
      <w:r w:rsidR="00250878" w:rsidRPr="00C87AF3">
        <w:rPr>
          <w:rFonts w:ascii="Arial" w:hAnsi="Arial" w:cs="Arial"/>
          <w:b/>
          <w:color w:val="943634"/>
          <w:sz w:val="28"/>
        </w:rPr>
        <w:t>ttitudes</w:t>
      </w:r>
      <w:r w:rsidR="00250878" w:rsidRPr="00C87AF3">
        <w:rPr>
          <w:rStyle w:val="FootnoteReference"/>
          <w:rFonts w:ascii="Arial" w:hAnsi="Arial" w:cs="Arial"/>
          <w:b/>
          <w:color w:val="943634"/>
          <w:sz w:val="28"/>
        </w:rPr>
        <w:footnoteReference w:id="3"/>
      </w:r>
    </w:p>
    <w:p w14:paraId="1956740C" w14:textId="77777777" w:rsidR="00B64569"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The changing relationship of employer and worker has been described as: less ‘parent to child’ and more ‘adult to adult’.</w:t>
      </w:r>
    </w:p>
    <w:p w14:paraId="24AEB18D" w14:textId="77777777" w:rsidR="00250878" w:rsidRPr="00F75FAF" w:rsidRDefault="00B64569" w:rsidP="00327B9E">
      <w:pPr>
        <w:widowControl w:val="0"/>
        <w:autoSpaceDE w:val="0"/>
        <w:autoSpaceDN w:val="0"/>
        <w:adjustRightInd w:val="0"/>
        <w:spacing w:after="240"/>
        <w:jc w:val="both"/>
        <w:rPr>
          <w:rFonts w:ascii="Arial" w:hAnsi="Arial" w:cs="Arial"/>
        </w:rPr>
      </w:pPr>
      <w:r>
        <w:rPr>
          <w:rFonts w:ascii="Arial" w:hAnsi="Arial" w:cs="Arial"/>
        </w:rPr>
        <w:t>This</w:t>
      </w:r>
      <w:r w:rsidR="00250878" w:rsidRPr="00F75FAF">
        <w:rPr>
          <w:rFonts w:ascii="Arial" w:hAnsi="Arial" w:cs="Arial"/>
        </w:rPr>
        <w:t xml:space="preserve"> individualistic approach to how employees are rewarded transfers more of the risk (and, potentially, reward) and cost of the provision to their workers. With pay, there has been a move away from collective bargaining, across-the-board pay rises and service-related increments, to performance-related arrangements, while benefit provision has seen a widespread shift from final salary pension schemes to money purchase plans (particularly in the private sector) and some movement from fixed benefits to flexible and voluntary arrangements. More recently on the agenda has been the importance of employee engagement and its relationship to staff (and therefore customer) satisfaction. Under scrutiny has been the role benefits generally can</w:t>
      </w:r>
      <w:r w:rsidR="00E514E0">
        <w:rPr>
          <w:rFonts w:ascii="Arial" w:hAnsi="Arial" w:cs="Arial"/>
        </w:rPr>
        <w:t xml:space="preserve"> play in improving engagement </w:t>
      </w:r>
      <w:r w:rsidR="00250878" w:rsidRPr="00F75FAF">
        <w:rPr>
          <w:rFonts w:ascii="Arial" w:hAnsi="Arial" w:cs="Arial"/>
        </w:rPr>
        <w:t>across the workforce.</w:t>
      </w:r>
    </w:p>
    <w:p w14:paraId="5CDE22BF"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One major current issue in benefit provision generally is the concern among some employers as to whether their employees are in a position to adjust to this new benefit landscape where they shoulder more of the risk and reward. There is a belief that if employers give employees more freedom and choice they also have a moral duty to help educate employees about the possible consequences of their benefit choices and to help them make well-informed decisions around what level of savings or health coverage they will need throughout their employment life cycle.</w:t>
      </w:r>
    </w:p>
    <w:p w14:paraId="50E7DFE3"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6A84F3E2"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098D1EF0"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05E89E01"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48024469"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1A0744E4"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23EAA304"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7B7C8F2A"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748D3FBB"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273A4BF4" w14:textId="77777777" w:rsidR="00031EB4" w:rsidRDefault="00031EB4" w:rsidP="00327B9E">
      <w:pPr>
        <w:widowControl w:val="0"/>
        <w:autoSpaceDE w:val="0"/>
        <w:autoSpaceDN w:val="0"/>
        <w:adjustRightInd w:val="0"/>
        <w:spacing w:after="240"/>
        <w:jc w:val="both"/>
        <w:rPr>
          <w:rFonts w:ascii="Arial" w:hAnsi="Arial" w:cs="Arial"/>
          <w:b/>
          <w:color w:val="943634"/>
          <w:sz w:val="28"/>
        </w:rPr>
      </w:pPr>
    </w:p>
    <w:p w14:paraId="69D2E457"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5A8EBDBD" w14:textId="77777777" w:rsidR="00250878" w:rsidRPr="00C87AF3" w:rsidRDefault="00212AE9" w:rsidP="00327B9E">
      <w:pPr>
        <w:widowControl w:val="0"/>
        <w:autoSpaceDE w:val="0"/>
        <w:autoSpaceDN w:val="0"/>
        <w:adjustRightInd w:val="0"/>
        <w:spacing w:after="240"/>
        <w:jc w:val="both"/>
        <w:rPr>
          <w:rFonts w:ascii="Arial" w:hAnsi="Arial" w:cs="Arial"/>
          <w:color w:val="943634"/>
          <w:sz w:val="28"/>
        </w:rPr>
      </w:pPr>
      <w:r>
        <w:rPr>
          <w:rFonts w:ascii="Arial" w:hAnsi="Arial" w:cs="Arial"/>
          <w:b/>
          <w:color w:val="943634"/>
          <w:sz w:val="28"/>
        </w:rPr>
        <w:lastRenderedPageBreak/>
        <w:t xml:space="preserve">5. </w:t>
      </w:r>
      <w:r w:rsidR="00250878" w:rsidRPr="00C87AF3">
        <w:rPr>
          <w:rFonts w:ascii="Arial" w:hAnsi="Arial" w:cs="Arial"/>
          <w:b/>
          <w:color w:val="943634"/>
          <w:sz w:val="28"/>
        </w:rPr>
        <w:t>Some brief comments on pension schemes</w:t>
      </w:r>
    </w:p>
    <w:p w14:paraId="3111D739"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 xml:space="preserve">This paper considers primarily benefits related to health and wellbeing, but it is appropriate to make at least a passing reference to pension schemes since their provision has implications for other areas of benefits provision. </w:t>
      </w:r>
    </w:p>
    <w:p w14:paraId="147A7E33"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 xml:space="preserve">A quote from the Pensions Management Institute in March 2015 sets the scene: </w:t>
      </w:r>
    </w:p>
    <w:p w14:paraId="3A4831DC"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‘The volume of pensions legislation in force has increased exponentially year-on-year over the past forty years, with annual Finance Acts and many Pensions Acts, especially in the past decade, plus hundreds of sets of regulations. The twin drivers have been a Treasury obsession with tax relief and the potential for its abuse, and a Department for Work and Pensions passion to protect pension scheme members seemingly almost regardless of cost’. The author points out, for example, that ‘by 2010 we were well past four thousand pages of legislation and heading towards ten thousand’.</w:t>
      </w:r>
      <w:r w:rsidRPr="00F75FAF">
        <w:rPr>
          <w:rStyle w:val="FootnoteReference"/>
          <w:rFonts w:ascii="Arial" w:hAnsi="Arial" w:cs="Arial"/>
        </w:rPr>
        <w:footnoteReference w:id="4"/>
      </w:r>
    </w:p>
    <w:p w14:paraId="7EAD9BC3"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Legislative complication was only one factor in the decline of the Defined Benefit/Final Salary pension scheme that was at one time a defining feature of the employee benefit landscape. Other factors included improved longevity, the abolition of compulsory membership and what is often referred to as Gordon Brown’s ‘raid’ on the funds themselves.</w:t>
      </w:r>
    </w:p>
    <w:p w14:paraId="653D75AF"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Now employers have to get to grips with automatic enrolment, which commenced in October 2012 and will not be complete until 2018.</w:t>
      </w:r>
    </w:p>
    <w:p w14:paraId="01D89F82"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The reasons for alluding to pension provision in this paper are as follows:</w:t>
      </w:r>
    </w:p>
    <w:p w14:paraId="6E6BE509" w14:textId="77777777" w:rsidR="00250878" w:rsidRDefault="00250878" w:rsidP="00327B9E">
      <w:pPr>
        <w:pStyle w:val="ListParagraph"/>
        <w:widowControl w:val="0"/>
        <w:numPr>
          <w:ilvl w:val="0"/>
          <w:numId w:val="3"/>
        </w:numPr>
        <w:autoSpaceDE w:val="0"/>
        <w:autoSpaceDN w:val="0"/>
        <w:adjustRightInd w:val="0"/>
        <w:spacing w:after="240"/>
        <w:jc w:val="both"/>
        <w:rPr>
          <w:rFonts w:ascii="Arial" w:hAnsi="Arial" w:cs="Arial"/>
        </w:rPr>
      </w:pPr>
      <w:r w:rsidRPr="00F75FAF">
        <w:rPr>
          <w:rFonts w:ascii="Arial" w:hAnsi="Arial" w:cs="Arial"/>
        </w:rPr>
        <w:t xml:space="preserve">Pension benefits will continue to remain at, or close to, the top of the demands on </w:t>
      </w:r>
      <w:r w:rsidR="00021FC7">
        <w:rPr>
          <w:rFonts w:ascii="Arial" w:hAnsi="Arial" w:cs="Arial"/>
        </w:rPr>
        <w:t xml:space="preserve">many </w:t>
      </w:r>
      <w:r w:rsidRPr="00F75FAF">
        <w:rPr>
          <w:rFonts w:ascii="Arial" w:hAnsi="Arial" w:cs="Arial"/>
        </w:rPr>
        <w:t>employer</w:t>
      </w:r>
      <w:r w:rsidR="00021FC7">
        <w:rPr>
          <w:rFonts w:ascii="Arial" w:hAnsi="Arial" w:cs="Arial"/>
        </w:rPr>
        <w:t>’s</w:t>
      </w:r>
      <w:r w:rsidRPr="00F75FAF">
        <w:rPr>
          <w:rFonts w:ascii="Arial" w:hAnsi="Arial" w:cs="Arial"/>
        </w:rPr>
        <w:t xml:space="preserve"> management time, possibly to the exclusion of other benefit related issues. Pensions not only involve direct expense but also a need to comply with regulations.</w:t>
      </w:r>
    </w:p>
    <w:p w14:paraId="3C3E8DEC" w14:textId="77777777" w:rsidR="00D11DD2" w:rsidRPr="00F75FAF" w:rsidRDefault="00D11DD2" w:rsidP="00D11DD2">
      <w:pPr>
        <w:pStyle w:val="ListParagraph"/>
        <w:widowControl w:val="0"/>
        <w:autoSpaceDE w:val="0"/>
        <w:autoSpaceDN w:val="0"/>
        <w:adjustRightInd w:val="0"/>
        <w:spacing w:after="240"/>
        <w:jc w:val="both"/>
        <w:rPr>
          <w:rFonts w:ascii="Arial" w:hAnsi="Arial" w:cs="Arial"/>
        </w:rPr>
      </w:pPr>
    </w:p>
    <w:p w14:paraId="46D766AF" w14:textId="77777777" w:rsidR="00250878" w:rsidRDefault="00250878" w:rsidP="00327B9E">
      <w:pPr>
        <w:pStyle w:val="ListParagraph"/>
        <w:widowControl w:val="0"/>
        <w:numPr>
          <w:ilvl w:val="0"/>
          <w:numId w:val="3"/>
        </w:numPr>
        <w:autoSpaceDE w:val="0"/>
        <w:autoSpaceDN w:val="0"/>
        <w:adjustRightInd w:val="0"/>
        <w:spacing w:after="240"/>
        <w:jc w:val="both"/>
        <w:rPr>
          <w:rFonts w:ascii="Arial" w:hAnsi="Arial" w:cs="Arial"/>
        </w:rPr>
      </w:pPr>
      <w:r w:rsidRPr="00F75FAF">
        <w:rPr>
          <w:rFonts w:ascii="Arial" w:hAnsi="Arial" w:cs="Arial"/>
        </w:rPr>
        <w:t>The decline of Defined Benefit schemes removed a useful option that was open to employers when dealing with serious ill health among employees – the offer of an ill health early retirement pension with (sometimes) a benefit enhancement. This change has been cited as creating an opportunity to implement a Group Income Protection (GIP) scheme as an alternative solution.</w:t>
      </w:r>
    </w:p>
    <w:p w14:paraId="508B1A25" w14:textId="77777777" w:rsidR="00D11DD2" w:rsidRPr="00D11DD2" w:rsidRDefault="00D11DD2" w:rsidP="00D11DD2">
      <w:pPr>
        <w:pStyle w:val="ListParagraph"/>
        <w:rPr>
          <w:rFonts w:ascii="Arial" w:hAnsi="Arial" w:cs="Arial"/>
        </w:rPr>
      </w:pPr>
    </w:p>
    <w:p w14:paraId="0376DDBA" w14:textId="77777777" w:rsidR="00250878" w:rsidRDefault="00250878" w:rsidP="00327B9E">
      <w:pPr>
        <w:pStyle w:val="ListParagraph"/>
        <w:widowControl w:val="0"/>
        <w:numPr>
          <w:ilvl w:val="0"/>
          <w:numId w:val="3"/>
        </w:numPr>
        <w:autoSpaceDE w:val="0"/>
        <w:autoSpaceDN w:val="0"/>
        <w:adjustRightInd w:val="0"/>
        <w:spacing w:after="240"/>
        <w:jc w:val="both"/>
        <w:rPr>
          <w:rFonts w:ascii="Arial" w:hAnsi="Arial" w:cs="Arial"/>
        </w:rPr>
      </w:pPr>
      <w:r w:rsidRPr="00F75FAF">
        <w:rPr>
          <w:rFonts w:ascii="Arial" w:hAnsi="Arial" w:cs="Arial"/>
        </w:rPr>
        <w:t>There was concern that automatic enrolment would possibly lead to the winding up of GIP schemes where eligibility for GIP was linked to eligibility for pension, hence increasing the cost of its provision. Latest figures for scheme membership do not, however, indicate that this has happened to any great extent.</w:t>
      </w:r>
    </w:p>
    <w:p w14:paraId="0224EBB6" w14:textId="77777777" w:rsidR="00D11DD2" w:rsidRPr="00D11DD2" w:rsidRDefault="00D11DD2" w:rsidP="00D11DD2">
      <w:pPr>
        <w:pStyle w:val="ListParagraph"/>
        <w:rPr>
          <w:rFonts w:ascii="Arial" w:hAnsi="Arial" w:cs="Arial"/>
        </w:rPr>
      </w:pPr>
    </w:p>
    <w:p w14:paraId="5D734F00" w14:textId="77777777" w:rsidR="00250878" w:rsidRDefault="00250878" w:rsidP="00327B9E">
      <w:pPr>
        <w:pStyle w:val="ListParagraph"/>
        <w:widowControl w:val="0"/>
        <w:numPr>
          <w:ilvl w:val="0"/>
          <w:numId w:val="3"/>
        </w:numPr>
        <w:autoSpaceDE w:val="0"/>
        <w:autoSpaceDN w:val="0"/>
        <w:adjustRightInd w:val="0"/>
        <w:spacing w:after="240"/>
        <w:jc w:val="both"/>
        <w:rPr>
          <w:rFonts w:ascii="Arial" w:hAnsi="Arial" w:cs="Arial"/>
        </w:rPr>
      </w:pPr>
      <w:r w:rsidRPr="00F75FAF">
        <w:rPr>
          <w:rFonts w:ascii="Arial" w:hAnsi="Arial" w:cs="Arial"/>
        </w:rPr>
        <w:t xml:space="preserve">So far, auto enrolment has been declared a success with far fewer </w:t>
      </w:r>
      <w:r w:rsidRPr="00F75FAF">
        <w:rPr>
          <w:rFonts w:ascii="Arial" w:hAnsi="Arial" w:cs="Arial"/>
        </w:rPr>
        <w:lastRenderedPageBreak/>
        <w:t>employees (approximately 9%) opting out than was expected. This success has encouraged discussion as to whether automatic enrolment would be appropriate for health related benefits.</w:t>
      </w:r>
    </w:p>
    <w:p w14:paraId="2BAAA173" w14:textId="77777777" w:rsidR="00D11DD2" w:rsidRPr="00D11DD2" w:rsidRDefault="00D11DD2" w:rsidP="00D11DD2">
      <w:pPr>
        <w:pStyle w:val="ListParagraph"/>
        <w:rPr>
          <w:rFonts w:ascii="Arial" w:hAnsi="Arial" w:cs="Arial"/>
        </w:rPr>
      </w:pPr>
    </w:p>
    <w:p w14:paraId="4C007937" w14:textId="77777777" w:rsidR="00250878" w:rsidRPr="00F75FAF" w:rsidRDefault="00250878" w:rsidP="00327B9E">
      <w:pPr>
        <w:pStyle w:val="ListParagraph"/>
        <w:widowControl w:val="0"/>
        <w:numPr>
          <w:ilvl w:val="0"/>
          <w:numId w:val="3"/>
        </w:numPr>
        <w:autoSpaceDE w:val="0"/>
        <w:autoSpaceDN w:val="0"/>
        <w:adjustRightInd w:val="0"/>
        <w:spacing w:after="240"/>
        <w:jc w:val="both"/>
        <w:rPr>
          <w:rFonts w:ascii="Arial" w:hAnsi="Arial" w:cs="Arial"/>
        </w:rPr>
      </w:pPr>
      <w:r w:rsidRPr="00F75FAF">
        <w:rPr>
          <w:rFonts w:ascii="Arial" w:hAnsi="Arial" w:cs="Arial"/>
        </w:rPr>
        <w:t>Small and micro employers are now approaching their staging dates. An employer survey conducted by The Pensions Regulator in November 2014 revealed that more than 20% of those due to stage between June and November 2015 had not yet drawn up plans to meet their duties. However, eight in ten smaller medium and small employers had consulted an adviser or intended to do so. In order to help, in March this year the Regulator has launched a new online 11-step guide to help small businesses</w:t>
      </w:r>
      <w:r w:rsidRPr="00F75FAF">
        <w:rPr>
          <w:rStyle w:val="FootnoteReference"/>
          <w:rFonts w:ascii="Arial" w:hAnsi="Arial" w:cs="Arial"/>
        </w:rPr>
        <w:footnoteReference w:id="5"/>
      </w:r>
      <w:r w:rsidRPr="00F75FAF">
        <w:rPr>
          <w:rFonts w:ascii="Arial" w:hAnsi="Arial" w:cs="Arial"/>
        </w:rPr>
        <w:t>.</w:t>
      </w:r>
    </w:p>
    <w:p w14:paraId="493714E9"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A positive view of all this is that developments in the pension’s space can prompt employers to consider other employee benefits and may open up new consulting opportunities.</w:t>
      </w:r>
    </w:p>
    <w:p w14:paraId="612A17FE"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26E753F3"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138C619A"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0B892000"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269D4551"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7A78F96E"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0E05FC55"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16ADF6AA"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2ADC8A90"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69BC6FA1"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7D1371F7"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6E0801F2" w14:textId="77777777" w:rsidR="00E514E0" w:rsidRDefault="00E514E0" w:rsidP="00327B9E">
      <w:pPr>
        <w:widowControl w:val="0"/>
        <w:autoSpaceDE w:val="0"/>
        <w:autoSpaceDN w:val="0"/>
        <w:adjustRightInd w:val="0"/>
        <w:spacing w:after="240"/>
        <w:jc w:val="both"/>
        <w:rPr>
          <w:rFonts w:ascii="Arial" w:hAnsi="Arial" w:cs="Arial"/>
          <w:b/>
          <w:color w:val="943634"/>
          <w:sz w:val="28"/>
        </w:rPr>
      </w:pPr>
    </w:p>
    <w:p w14:paraId="29B153DC" w14:textId="65BA301B" w:rsidR="00031EB4" w:rsidRDefault="00031EB4" w:rsidP="00327B9E">
      <w:pPr>
        <w:widowControl w:val="0"/>
        <w:autoSpaceDE w:val="0"/>
        <w:autoSpaceDN w:val="0"/>
        <w:adjustRightInd w:val="0"/>
        <w:spacing w:after="240"/>
        <w:jc w:val="both"/>
        <w:rPr>
          <w:rFonts w:ascii="Arial" w:hAnsi="Arial" w:cs="Arial"/>
          <w:b/>
          <w:color w:val="943634"/>
          <w:sz w:val="28"/>
        </w:rPr>
      </w:pPr>
    </w:p>
    <w:p w14:paraId="1D306C5F" w14:textId="77777777" w:rsidR="00031EB4" w:rsidRDefault="00031EB4" w:rsidP="00327B9E">
      <w:pPr>
        <w:widowControl w:val="0"/>
        <w:autoSpaceDE w:val="0"/>
        <w:autoSpaceDN w:val="0"/>
        <w:adjustRightInd w:val="0"/>
        <w:spacing w:after="240"/>
        <w:jc w:val="both"/>
        <w:rPr>
          <w:rFonts w:ascii="Arial" w:hAnsi="Arial" w:cs="Arial"/>
          <w:b/>
          <w:color w:val="943634"/>
          <w:sz w:val="28"/>
        </w:rPr>
      </w:pPr>
    </w:p>
    <w:p w14:paraId="60138324" w14:textId="77777777" w:rsidR="00D21FDA" w:rsidRDefault="00D21FDA" w:rsidP="00327B9E">
      <w:pPr>
        <w:widowControl w:val="0"/>
        <w:autoSpaceDE w:val="0"/>
        <w:autoSpaceDN w:val="0"/>
        <w:adjustRightInd w:val="0"/>
        <w:spacing w:after="240"/>
        <w:jc w:val="both"/>
        <w:rPr>
          <w:rFonts w:ascii="Arial" w:hAnsi="Arial" w:cs="Arial"/>
          <w:b/>
          <w:color w:val="943634"/>
          <w:sz w:val="28"/>
        </w:rPr>
      </w:pPr>
    </w:p>
    <w:p w14:paraId="7504C31C" w14:textId="77777777" w:rsidR="00250878" w:rsidRPr="00C87AF3" w:rsidRDefault="00212AE9" w:rsidP="00327B9E">
      <w:pPr>
        <w:widowControl w:val="0"/>
        <w:autoSpaceDE w:val="0"/>
        <w:autoSpaceDN w:val="0"/>
        <w:adjustRightInd w:val="0"/>
        <w:spacing w:after="240"/>
        <w:jc w:val="both"/>
        <w:rPr>
          <w:rFonts w:ascii="Arial" w:hAnsi="Arial" w:cs="Arial"/>
          <w:b/>
          <w:color w:val="943634"/>
          <w:sz w:val="28"/>
        </w:rPr>
      </w:pPr>
      <w:r>
        <w:rPr>
          <w:rFonts w:ascii="Arial" w:hAnsi="Arial" w:cs="Arial"/>
          <w:b/>
          <w:color w:val="943634"/>
          <w:sz w:val="28"/>
        </w:rPr>
        <w:lastRenderedPageBreak/>
        <w:t xml:space="preserve">6. </w:t>
      </w:r>
      <w:r w:rsidR="00250878" w:rsidRPr="00C87AF3">
        <w:rPr>
          <w:rFonts w:ascii="Arial" w:hAnsi="Arial" w:cs="Arial"/>
          <w:b/>
          <w:color w:val="943634"/>
          <w:sz w:val="28"/>
        </w:rPr>
        <w:t>Flexible Benefits (and other voluntary approaches)</w:t>
      </w:r>
    </w:p>
    <w:p w14:paraId="52BE088D" w14:textId="77777777" w:rsidR="00250878" w:rsidRPr="00F75FAF" w:rsidRDefault="00250878" w:rsidP="00D11DD2">
      <w:pPr>
        <w:widowControl w:val="0"/>
        <w:autoSpaceDE w:val="0"/>
        <w:autoSpaceDN w:val="0"/>
        <w:adjustRightInd w:val="0"/>
        <w:spacing w:after="240"/>
        <w:jc w:val="both"/>
        <w:rPr>
          <w:rFonts w:ascii="Arial" w:hAnsi="Arial" w:cs="Arial"/>
        </w:rPr>
      </w:pPr>
      <w:r w:rsidRPr="00F75FAF">
        <w:rPr>
          <w:rFonts w:ascii="Arial" w:hAnsi="Arial" w:cs="Arial"/>
        </w:rPr>
        <w:t>One of the most significant changes in the employee benefits landscape over the last three decades has been the growth in popularity of flexible benefits schemes.</w:t>
      </w:r>
    </w:p>
    <w:p w14:paraId="5F5ADAF8" w14:textId="651F61AF" w:rsidR="00785392" w:rsidRDefault="00250878" w:rsidP="00D11DD2">
      <w:pPr>
        <w:widowControl w:val="0"/>
        <w:autoSpaceDE w:val="0"/>
        <w:autoSpaceDN w:val="0"/>
        <w:adjustRightInd w:val="0"/>
        <w:jc w:val="both"/>
        <w:rPr>
          <w:rFonts w:ascii="Helvetica" w:hAnsi="Helvetica" w:cs="Helvetica"/>
        </w:rPr>
      </w:pPr>
      <w:r w:rsidRPr="00F75FAF">
        <w:rPr>
          <w:rFonts w:ascii="Arial" w:hAnsi="Arial" w:cs="Arial"/>
        </w:rPr>
        <w:t>The early schemes offered quite limited choices which tended to equate to what would now be considered core benefits and development tended to be restricted to bigger employers given the investment needed in administration technology and communication. Through the 1990s and 2000s, however, as technology improved, memberships expanded greatly and started to include numerous small to medium sized enterprises.</w:t>
      </w:r>
      <w:r w:rsidRPr="00F75FAF">
        <w:rPr>
          <w:rStyle w:val="FootnoteReference"/>
          <w:rFonts w:ascii="Arial" w:hAnsi="Arial" w:cs="Arial"/>
        </w:rPr>
        <w:footnoteReference w:id="6"/>
      </w:r>
      <w:r w:rsidR="00785392" w:rsidRPr="00785392">
        <w:rPr>
          <w:rFonts w:ascii="Helvetica" w:hAnsi="Helvetica" w:cs="Helvetica"/>
        </w:rPr>
        <w:t xml:space="preserve"> </w:t>
      </w:r>
      <w:r w:rsidR="00785392">
        <w:rPr>
          <w:rFonts w:ascii="Helvetica" w:hAnsi="Helvetica" w:cs="Helvetica"/>
        </w:rPr>
        <w:t xml:space="preserve">Typical core benefits (such as basic life cover, PMI cover for the employee and holiday entitlement) could be 'flexed up' </w:t>
      </w:r>
      <w:r w:rsidR="004228EE">
        <w:rPr>
          <w:rFonts w:ascii="Helvetica" w:hAnsi="Helvetica" w:cs="Helvetica"/>
        </w:rPr>
        <w:t xml:space="preserve">or ‘flexed down’ </w:t>
      </w:r>
      <w:r w:rsidR="00785392">
        <w:rPr>
          <w:rFonts w:ascii="Helvetica" w:hAnsi="Helvetica" w:cs="Helvetica"/>
        </w:rPr>
        <w:t>and soon a wide array of other benefits were added which could be purchased totally at the employees</w:t>
      </w:r>
      <w:r w:rsidR="00021FC7">
        <w:rPr>
          <w:rFonts w:ascii="Helvetica" w:hAnsi="Helvetica" w:cs="Helvetica"/>
        </w:rPr>
        <w:t>’</w:t>
      </w:r>
      <w:r w:rsidR="00785392">
        <w:rPr>
          <w:rFonts w:ascii="Helvetica" w:hAnsi="Helvetica" w:cs="Helvetica"/>
        </w:rPr>
        <w:t xml:space="preserve"> discretion.</w:t>
      </w:r>
    </w:p>
    <w:p w14:paraId="3B8F3C74" w14:textId="77777777" w:rsidR="00785392" w:rsidRDefault="00785392" w:rsidP="00D11DD2">
      <w:pPr>
        <w:widowControl w:val="0"/>
        <w:autoSpaceDE w:val="0"/>
        <w:autoSpaceDN w:val="0"/>
        <w:adjustRightInd w:val="0"/>
        <w:jc w:val="both"/>
        <w:rPr>
          <w:rFonts w:ascii="Helvetica" w:hAnsi="Helvetica" w:cs="Helvetica"/>
        </w:rPr>
      </w:pPr>
    </w:p>
    <w:p w14:paraId="010EF840" w14:textId="0C8A7967" w:rsidR="00785392" w:rsidRDefault="00785392" w:rsidP="00D11DD2">
      <w:pPr>
        <w:widowControl w:val="0"/>
        <w:autoSpaceDE w:val="0"/>
        <w:autoSpaceDN w:val="0"/>
        <w:adjustRightInd w:val="0"/>
        <w:jc w:val="both"/>
        <w:rPr>
          <w:rFonts w:ascii="Arial" w:hAnsi="Arial" w:cs="Arial"/>
        </w:rPr>
      </w:pPr>
      <w:r>
        <w:rPr>
          <w:rFonts w:ascii="Helvetica" w:hAnsi="Helvetica" w:cs="Helvetica"/>
        </w:rPr>
        <w:t xml:space="preserve">Data regarding the popularity of flex can be rather variable. </w:t>
      </w:r>
      <w:r w:rsidR="00C501D2">
        <w:rPr>
          <w:rFonts w:ascii="Helvetica" w:hAnsi="Helvetica" w:cs="Helvetica"/>
        </w:rPr>
        <w:t>Research conducted in 2012 indicated that 52% of employers had either implemented or were in the process of implementing a flex scheme</w:t>
      </w:r>
      <w:r w:rsidR="00C501D2">
        <w:rPr>
          <w:rStyle w:val="FootnoteReference"/>
          <w:rFonts w:ascii="Helvetica" w:hAnsi="Helvetica"/>
        </w:rPr>
        <w:footnoteReference w:id="7"/>
      </w:r>
      <w:r w:rsidR="00C501D2">
        <w:rPr>
          <w:rFonts w:ascii="Helvetica" w:hAnsi="Helvetica" w:cs="Helvetica"/>
        </w:rPr>
        <w:t xml:space="preserve">. </w:t>
      </w:r>
      <w:r w:rsidR="00250878" w:rsidRPr="00F75FAF">
        <w:rPr>
          <w:rFonts w:ascii="Arial" w:hAnsi="Arial" w:cs="Arial"/>
        </w:rPr>
        <w:t>According to research among HR professionals carried out in 2014, 81% of respondents claimed their organisation offered some form of flexible benefits. Of those not offering such arrangements, 25% claimed to be considering offering it within the next 12 months.</w:t>
      </w:r>
      <w:r w:rsidR="00250878" w:rsidRPr="00F75FAF">
        <w:rPr>
          <w:rStyle w:val="FootnoteReference"/>
          <w:rFonts w:ascii="Arial" w:hAnsi="Arial" w:cs="Arial"/>
        </w:rPr>
        <w:footnoteReference w:id="8"/>
      </w:r>
      <w:r w:rsidR="00D61F5A">
        <w:rPr>
          <w:rFonts w:ascii="Arial" w:hAnsi="Arial" w:cs="Arial"/>
        </w:rPr>
        <w:t xml:space="preserve"> </w:t>
      </w:r>
    </w:p>
    <w:p w14:paraId="36565504" w14:textId="77777777" w:rsidR="00785392" w:rsidRDefault="00785392" w:rsidP="00D11DD2">
      <w:pPr>
        <w:widowControl w:val="0"/>
        <w:autoSpaceDE w:val="0"/>
        <w:autoSpaceDN w:val="0"/>
        <w:adjustRightInd w:val="0"/>
        <w:jc w:val="both"/>
        <w:rPr>
          <w:rFonts w:ascii="Arial" w:hAnsi="Arial" w:cs="Arial"/>
        </w:rPr>
      </w:pPr>
    </w:p>
    <w:p w14:paraId="7F6B0617" w14:textId="77777777" w:rsidR="00AD4E7F" w:rsidRDefault="00785392" w:rsidP="00D11DD2">
      <w:pPr>
        <w:widowControl w:val="0"/>
        <w:autoSpaceDE w:val="0"/>
        <w:autoSpaceDN w:val="0"/>
        <w:adjustRightInd w:val="0"/>
        <w:jc w:val="both"/>
        <w:rPr>
          <w:rFonts w:ascii="Arial" w:hAnsi="Arial" w:cs="Arial"/>
        </w:rPr>
      </w:pPr>
      <w:r>
        <w:rPr>
          <w:rFonts w:ascii="Arial" w:hAnsi="Arial" w:cs="Arial"/>
        </w:rPr>
        <w:t>T</w:t>
      </w:r>
      <w:r w:rsidR="00250878" w:rsidRPr="00F75FAF">
        <w:rPr>
          <w:rFonts w:ascii="Arial" w:hAnsi="Arial" w:cs="Arial"/>
        </w:rPr>
        <w:t>he lines between core benefits and flex, or flex and voluntary benefits are not as clear as they once were. Salary sacrifice, for example, often features in both flex and voluntary benefits arrangements</w:t>
      </w:r>
      <w:r w:rsidR="00AD4E7F">
        <w:rPr>
          <w:rFonts w:ascii="Arial" w:hAnsi="Arial" w:cs="Arial"/>
        </w:rPr>
        <w:t xml:space="preserve"> (in 2014 37% of employees were structuring flexible benefits around salary sacrifice, up from 30% in 2011)</w:t>
      </w:r>
      <w:r w:rsidR="00250878" w:rsidRPr="00F75FAF">
        <w:rPr>
          <w:rFonts w:ascii="Arial" w:hAnsi="Arial" w:cs="Arial"/>
        </w:rPr>
        <w:t xml:space="preserve">. </w:t>
      </w:r>
    </w:p>
    <w:p w14:paraId="67D1130A" w14:textId="77777777" w:rsidR="00AD4E7F" w:rsidRDefault="00AD4E7F" w:rsidP="00D11DD2">
      <w:pPr>
        <w:widowControl w:val="0"/>
        <w:autoSpaceDE w:val="0"/>
        <w:autoSpaceDN w:val="0"/>
        <w:adjustRightInd w:val="0"/>
        <w:jc w:val="both"/>
        <w:rPr>
          <w:rFonts w:ascii="Arial" w:hAnsi="Arial" w:cs="Arial"/>
        </w:rPr>
      </w:pPr>
    </w:p>
    <w:p w14:paraId="3CFBBC63" w14:textId="1DC83BF7" w:rsidR="00250878" w:rsidRPr="00AD4E7F" w:rsidRDefault="00250878" w:rsidP="00AD4E7F">
      <w:pPr>
        <w:widowControl w:val="0"/>
        <w:autoSpaceDE w:val="0"/>
        <w:autoSpaceDN w:val="0"/>
        <w:adjustRightInd w:val="0"/>
        <w:jc w:val="both"/>
        <w:rPr>
          <w:rFonts w:ascii="Helvetica" w:hAnsi="Helvetica" w:cs="Helvetica"/>
        </w:rPr>
      </w:pPr>
      <w:r w:rsidRPr="00F75FAF">
        <w:rPr>
          <w:rFonts w:ascii="Arial" w:hAnsi="Arial" w:cs="Arial"/>
        </w:rPr>
        <w:t>One view is that provision is not so much about core benefits plus flexible options but about integrated benefit solutions. This uses technology as an enabler to bring all options together, because there is much more power in having everything in one place and easily accessible by the employee.</w:t>
      </w:r>
      <w:r w:rsidR="00AD4E7F">
        <w:rPr>
          <w:rFonts w:ascii="Arial" w:hAnsi="Arial" w:cs="Arial"/>
        </w:rPr>
        <w:t xml:space="preserve"> </w:t>
      </w:r>
      <w:r w:rsidRPr="00F75FAF">
        <w:rPr>
          <w:rFonts w:ascii="Arial" w:hAnsi="Arial" w:cs="Arial"/>
        </w:rPr>
        <w:t>An ideal platform, it is claimed, will give staff a combined view of their pension, share plans, flexible benefits and discounts. Not only that, electing benefit choices will not just be a once a year exercise but and ‘anytime’ exercise of ‘rolling enrolment’.</w:t>
      </w:r>
      <w:r w:rsidR="00785392">
        <w:rPr>
          <w:rFonts w:ascii="Arial" w:hAnsi="Arial" w:cs="Arial"/>
        </w:rPr>
        <w:t xml:space="preserve"> </w:t>
      </w:r>
      <w:r w:rsidRPr="00F75FAF">
        <w:rPr>
          <w:rFonts w:ascii="Arial" w:hAnsi="Arial" w:cs="Arial"/>
        </w:rPr>
        <w:t>This further blurs the edges between flex and v</w:t>
      </w:r>
      <w:r w:rsidR="00785392">
        <w:rPr>
          <w:rFonts w:ascii="Arial" w:hAnsi="Arial" w:cs="Arial"/>
        </w:rPr>
        <w:t xml:space="preserve">oluntary benefits. </w:t>
      </w:r>
    </w:p>
    <w:p w14:paraId="2076F058" w14:textId="0BEF6F7D" w:rsidR="00250878" w:rsidRPr="00F75FAF" w:rsidRDefault="00250878" w:rsidP="00327B9E">
      <w:pPr>
        <w:pStyle w:val="NormalWeb"/>
        <w:jc w:val="both"/>
        <w:rPr>
          <w:rFonts w:ascii="Arial" w:hAnsi="Arial" w:cs="Arial"/>
          <w:sz w:val="24"/>
        </w:rPr>
      </w:pPr>
      <w:r w:rsidRPr="00F75FAF">
        <w:rPr>
          <w:rFonts w:ascii="Arial" w:hAnsi="Arial" w:cs="Arial"/>
          <w:sz w:val="24"/>
        </w:rPr>
        <w:t xml:space="preserve">One commentator believes ‘a big change will be how we as an industry embraces mobile technology. Flexible benefits historically were not really targeted at retail staff, or employees without day-to-day access to a PC. Now </w:t>
      </w:r>
      <w:r w:rsidRPr="00F75FAF">
        <w:rPr>
          <w:rFonts w:ascii="Arial" w:hAnsi="Arial" w:cs="Arial"/>
          <w:sz w:val="24"/>
        </w:rPr>
        <w:lastRenderedPageBreak/>
        <w:t>we all have a computer in our pockets that we wander around with, so everyone can get access to them.’</w:t>
      </w:r>
      <w:r w:rsidR="00D61F5A">
        <w:rPr>
          <w:rStyle w:val="FootnoteReference"/>
          <w:rFonts w:ascii="Arial" w:hAnsi="Arial"/>
          <w:sz w:val="24"/>
        </w:rPr>
        <w:footnoteReference w:id="9"/>
      </w:r>
    </w:p>
    <w:p w14:paraId="0DEF134C" w14:textId="77777777" w:rsidR="00250878" w:rsidRPr="00F75FAF" w:rsidRDefault="00785392" w:rsidP="00327B9E">
      <w:pPr>
        <w:pStyle w:val="NormalWeb"/>
        <w:jc w:val="both"/>
        <w:rPr>
          <w:rFonts w:ascii="Arial" w:hAnsi="Arial" w:cs="Arial"/>
          <w:sz w:val="24"/>
        </w:rPr>
      </w:pPr>
      <w:r>
        <w:rPr>
          <w:rFonts w:ascii="Arial" w:hAnsi="Arial" w:cs="Arial"/>
          <w:sz w:val="24"/>
        </w:rPr>
        <w:t>At least one provider claims to have</w:t>
      </w:r>
      <w:r w:rsidR="00250878" w:rsidRPr="00F75FAF">
        <w:rPr>
          <w:rFonts w:ascii="Arial" w:hAnsi="Arial" w:cs="Arial"/>
          <w:sz w:val="24"/>
        </w:rPr>
        <w:t xml:space="preserve"> seen have a significant erosion of health and disability benefits and believes that employers are putting in place excesses and outpatient limits, and cancer restrictions on medical insurance. They are finding that most employers are happier removing that spend from those safety-net benefits, which are getting more and more expensive, and investing that money into flex.</w:t>
      </w:r>
    </w:p>
    <w:p w14:paraId="27C40E59" w14:textId="77777777" w:rsidR="00250878" w:rsidRPr="00F75FAF" w:rsidRDefault="00250878" w:rsidP="00327B9E">
      <w:pPr>
        <w:pStyle w:val="NormalWeb"/>
        <w:jc w:val="both"/>
        <w:rPr>
          <w:rFonts w:ascii="Arial" w:hAnsi="Arial" w:cs="Arial"/>
          <w:sz w:val="24"/>
        </w:rPr>
      </w:pPr>
      <w:r w:rsidRPr="00F75FAF">
        <w:rPr>
          <w:rFonts w:ascii="Arial" w:hAnsi="Arial" w:cs="Arial"/>
          <w:sz w:val="24"/>
        </w:rPr>
        <w:t>The common view is that although flexible benefits schemes may not develop at the rate they have done until now, this will continue to be a popular vehicle for providing a suite of perks that cater for a diverse workforce. Some also think that benefits will become more oriented towards wellness and illness/disability prevention rather that traditional ‘reactive’ benefits that only engage after a claim is made.</w:t>
      </w:r>
    </w:p>
    <w:p w14:paraId="679AE427" w14:textId="77777777" w:rsidR="00D21FDA" w:rsidRDefault="00785392" w:rsidP="00327B9E">
      <w:pPr>
        <w:pStyle w:val="NormalWeb"/>
        <w:jc w:val="both"/>
        <w:rPr>
          <w:rFonts w:ascii="Arial" w:hAnsi="Arial" w:cs="Arial"/>
          <w:sz w:val="24"/>
        </w:rPr>
      </w:pPr>
      <w:r>
        <w:rPr>
          <w:rFonts w:ascii="Arial" w:hAnsi="Arial" w:cs="Arial"/>
          <w:sz w:val="24"/>
        </w:rPr>
        <w:t xml:space="preserve">Not every employer-facilitated option is delivered via a formal flexible benefits </w:t>
      </w:r>
      <w:r w:rsidR="00250878" w:rsidRPr="00F75FAF">
        <w:rPr>
          <w:rFonts w:ascii="Arial" w:hAnsi="Arial" w:cs="Arial"/>
          <w:sz w:val="24"/>
        </w:rPr>
        <w:t>scheme; there are many freestanding options as well. For example, retail discount vouchers can (it is claimed) save careful shoppers up to £1,000 in the course of a year. Similarly, childcare vouchers have proved very popular and carried significan</w:t>
      </w:r>
      <w:r>
        <w:rPr>
          <w:rFonts w:ascii="Arial" w:hAnsi="Arial" w:cs="Arial"/>
          <w:sz w:val="24"/>
        </w:rPr>
        <w:t>t National Insurance advantages</w:t>
      </w:r>
      <w:r w:rsidR="00250878" w:rsidRPr="00F75FAF">
        <w:rPr>
          <w:rFonts w:ascii="Arial" w:hAnsi="Arial" w:cs="Arial"/>
          <w:sz w:val="24"/>
        </w:rPr>
        <w:t xml:space="preserve"> </w:t>
      </w:r>
      <w:r>
        <w:rPr>
          <w:rFonts w:ascii="Arial" w:hAnsi="Arial" w:cs="Arial"/>
          <w:sz w:val="24"/>
        </w:rPr>
        <w:t>(</w:t>
      </w:r>
      <w:r w:rsidR="00021FC7">
        <w:rPr>
          <w:rFonts w:ascii="Arial" w:hAnsi="Arial" w:cs="Arial"/>
          <w:sz w:val="24"/>
        </w:rPr>
        <w:t>which</w:t>
      </w:r>
      <w:r w:rsidR="00250878" w:rsidRPr="00F75FAF">
        <w:rPr>
          <w:rFonts w:ascii="Arial" w:hAnsi="Arial" w:cs="Arial"/>
          <w:sz w:val="24"/>
        </w:rPr>
        <w:t xml:space="preserve"> are now under threat</w:t>
      </w:r>
      <w:r>
        <w:rPr>
          <w:rFonts w:ascii="Arial" w:hAnsi="Arial" w:cs="Arial"/>
          <w:sz w:val="24"/>
        </w:rPr>
        <w:t>)</w:t>
      </w:r>
      <w:r w:rsidR="00250878" w:rsidRPr="00F75FAF">
        <w:rPr>
          <w:rFonts w:ascii="Arial" w:hAnsi="Arial" w:cs="Arial"/>
          <w:sz w:val="24"/>
        </w:rPr>
        <w:t>. Added to the mix have been plans involving the purchase of iPads, smartphones and bicycles (through Cycle2Work schemes)</w:t>
      </w:r>
      <w:r w:rsidR="00250878" w:rsidRPr="00F75FAF">
        <w:rPr>
          <w:rStyle w:val="FootnoteReference"/>
          <w:rFonts w:ascii="Arial" w:hAnsi="Arial" w:cs="Arial"/>
          <w:sz w:val="24"/>
        </w:rPr>
        <w:footnoteReference w:id="10"/>
      </w:r>
      <w:r w:rsidR="00250878" w:rsidRPr="00F75FAF">
        <w:rPr>
          <w:rFonts w:ascii="Arial" w:hAnsi="Arial" w:cs="Arial"/>
          <w:sz w:val="24"/>
        </w:rPr>
        <w:t>. There was also a report recently of employees valuing and asking for upskilling and literacy support rather than a wellness programme</w:t>
      </w:r>
      <w:r w:rsidR="00250878" w:rsidRPr="00F75FAF">
        <w:rPr>
          <w:rStyle w:val="FootnoteReference"/>
          <w:rFonts w:ascii="Arial" w:hAnsi="Arial" w:cs="Arial"/>
          <w:sz w:val="24"/>
        </w:rPr>
        <w:footnoteReference w:id="11"/>
      </w:r>
      <w:r w:rsidR="00250878" w:rsidRPr="00F75FAF">
        <w:rPr>
          <w:rFonts w:ascii="Arial" w:hAnsi="Arial" w:cs="Arial"/>
          <w:sz w:val="24"/>
        </w:rPr>
        <w:t>.</w:t>
      </w:r>
      <w:r w:rsidR="004228EE">
        <w:rPr>
          <w:rFonts w:ascii="Arial" w:hAnsi="Arial" w:cs="Arial"/>
          <w:sz w:val="24"/>
        </w:rPr>
        <w:t xml:space="preserve"> </w:t>
      </w:r>
    </w:p>
    <w:p w14:paraId="3B670C6C" w14:textId="3C2F9179" w:rsidR="00250878" w:rsidRPr="00F75FAF" w:rsidRDefault="004228EE" w:rsidP="00327B9E">
      <w:pPr>
        <w:pStyle w:val="NormalWeb"/>
        <w:jc w:val="both"/>
        <w:rPr>
          <w:rFonts w:ascii="Arial" w:hAnsi="Arial" w:cs="Arial"/>
          <w:sz w:val="24"/>
        </w:rPr>
      </w:pPr>
      <w:r>
        <w:rPr>
          <w:rFonts w:ascii="Arial" w:hAnsi="Arial" w:cs="Arial"/>
          <w:sz w:val="24"/>
        </w:rPr>
        <w:t>Most of these non-core voluntary benefits are marketed on the premise that they are relatively inexpensive as far as the employer is concerned</w:t>
      </w:r>
      <w:r w:rsidR="00250878" w:rsidRPr="00F75FAF">
        <w:rPr>
          <w:rFonts w:ascii="Arial" w:hAnsi="Arial" w:cs="Arial"/>
          <w:sz w:val="24"/>
        </w:rPr>
        <w:t xml:space="preserve"> offer immediate perceived benef</w:t>
      </w:r>
      <w:r>
        <w:rPr>
          <w:rFonts w:ascii="Arial" w:hAnsi="Arial" w:cs="Arial"/>
          <w:sz w:val="24"/>
        </w:rPr>
        <w:t>its to employees. Their value is not contingent upon the happening of a usually unpleasant insured event.</w:t>
      </w:r>
    </w:p>
    <w:p w14:paraId="7B545E07" w14:textId="77777777" w:rsidR="00E514E0" w:rsidRDefault="00E514E0" w:rsidP="00C87AF3">
      <w:pPr>
        <w:rPr>
          <w:rFonts w:ascii="Arial" w:hAnsi="Arial" w:cs="Arial"/>
          <w:b/>
          <w:color w:val="943634"/>
          <w:sz w:val="28"/>
        </w:rPr>
      </w:pPr>
    </w:p>
    <w:p w14:paraId="6EA827BA" w14:textId="77777777" w:rsidR="00E514E0" w:rsidRDefault="00E514E0" w:rsidP="00C87AF3">
      <w:pPr>
        <w:rPr>
          <w:rFonts w:ascii="Arial" w:hAnsi="Arial" w:cs="Arial"/>
          <w:b/>
          <w:color w:val="943634"/>
          <w:sz w:val="28"/>
        </w:rPr>
      </w:pPr>
    </w:p>
    <w:p w14:paraId="44090E12" w14:textId="77777777" w:rsidR="00E514E0" w:rsidRDefault="00E514E0" w:rsidP="00C87AF3">
      <w:pPr>
        <w:rPr>
          <w:rFonts w:ascii="Arial" w:hAnsi="Arial" w:cs="Arial"/>
          <w:b/>
          <w:color w:val="943634"/>
          <w:sz w:val="28"/>
        </w:rPr>
      </w:pPr>
    </w:p>
    <w:p w14:paraId="2A6D99FD" w14:textId="77777777" w:rsidR="00E514E0" w:rsidRDefault="00E514E0" w:rsidP="00C87AF3">
      <w:pPr>
        <w:rPr>
          <w:rFonts w:ascii="Arial" w:hAnsi="Arial" w:cs="Arial"/>
          <w:b/>
          <w:color w:val="943634"/>
          <w:sz w:val="28"/>
        </w:rPr>
      </w:pPr>
    </w:p>
    <w:p w14:paraId="49B94365" w14:textId="77777777" w:rsidR="00E514E0" w:rsidRDefault="00E514E0" w:rsidP="00C87AF3">
      <w:pPr>
        <w:rPr>
          <w:rFonts w:ascii="Arial" w:hAnsi="Arial" w:cs="Arial"/>
          <w:b/>
          <w:color w:val="943634"/>
          <w:sz w:val="28"/>
        </w:rPr>
      </w:pPr>
    </w:p>
    <w:p w14:paraId="635B5447" w14:textId="77777777" w:rsidR="00E514E0" w:rsidRDefault="00E514E0" w:rsidP="00C87AF3">
      <w:pPr>
        <w:rPr>
          <w:rFonts w:ascii="Arial" w:hAnsi="Arial" w:cs="Arial"/>
          <w:b/>
          <w:color w:val="943634"/>
          <w:sz w:val="28"/>
        </w:rPr>
      </w:pPr>
    </w:p>
    <w:p w14:paraId="41BD18C9" w14:textId="77777777" w:rsidR="00E514E0" w:rsidRDefault="00E514E0" w:rsidP="00C87AF3">
      <w:pPr>
        <w:rPr>
          <w:rFonts w:ascii="Arial" w:hAnsi="Arial" w:cs="Arial"/>
          <w:b/>
          <w:color w:val="943634"/>
          <w:sz w:val="28"/>
        </w:rPr>
      </w:pPr>
    </w:p>
    <w:p w14:paraId="0E6CAD91" w14:textId="77777777" w:rsidR="00E514E0" w:rsidRDefault="00E514E0" w:rsidP="00C87AF3">
      <w:pPr>
        <w:rPr>
          <w:rFonts w:ascii="Arial" w:hAnsi="Arial" w:cs="Arial"/>
          <w:b/>
          <w:color w:val="943634"/>
          <w:sz w:val="28"/>
        </w:rPr>
      </w:pPr>
    </w:p>
    <w:p w14:paraId="7A4B3F48" w14:textId="77777777" w:rsidR="00E514E0" w:rsidRDefault="00E514E0" w:rsidP="00C87AF3">
      <w:pPr>
        <w:rPr>
          <w:rFonts w:ascii="Arial" w:hAnsi="Arial" w:cs="Arial"/>
          <w:b/>
          <w:color w:val="943634"/>
          <w:sz w:val="28"/>
        </w:rPr>
      </w:pPr>
    </w:p>
    <w:p w14:paraId="1AA787B8" w14:textId="77777777" w:rsidR="00D21FDA" w:rsidRDefault="00D21FDA" w:rsidP="00C87AF3">
      <w:pPr>
        <w:rPr>
          <w:rFonts w:ascii="Arial" w:hAnsi="Arial" w:cs="Arial"/>
          <w:b/>
          <w:color w:val="943634"/>
          <w:sz w:val="28"/>
        </w:rPr>
      </w:pPr>
    </w:p>
    <w:p w14:paraId="21CF3331" w14:textId="77777777" w:rsidR="00250878" w:rsidRPr="00C87AF3" w:rsidRDefault="00BB589F" w:rsidP="00C87AF3">
      <w:pPr>
        <w:rPr>
          <w:rFonts w:ascii="Arial" w:hAnsi="Arial" w:cs="Arial"/>
          <w:b/>
          <w:color w:val="943634"/>
          <w:sz w:val="28"/>
        </w:rPr>
      </w:pPr>
      <w:r>
        <w:rPr>
          <w:rFonts w:ascii="Arial" w:hAnsi="Arial" w:cs="Arial"/>
          <w:b/>
          <w:color w:val="943634"/>
          <w:sz w:val="28"/>
        </w:rPr>
        <w:lastRenderedPageBreak/>
        <w:t xml:space="preserve">7. </w:t>
      </w:r>
      <w:r w:rsidR="00250878" w:rsidRPr="00C87AF3">
        <w:rPr>
          <w:rFonts w:ascii="Arial" w:hAnsi="Arial" w:cs="Arial"/>
          <w:b/>
          <w:color w:val="943634"/>
          <w:sz w:val="28"/>
        </w:rPr>
        <w:t>Other important trends and indicators</w:t>
      </w:r>
    </w:p>
    <w:p w14:paraId="24EB9A85" w14:textId="77777777" w:rsidR="00250878" w:rsidRPr="00F75FAF" w:rsidRDefault="00250878" w:rsidP="00C87AF3">
      <w:pPr>
        <w:rPr>
          <w:rFonts w:ascii="Arial" w:hAnsi="Arial" w:cs="Arial"/>
          <w:b/>
        </w:rPr>
      </w:pPr>
    </w:p>
    <w:p w14:paraId="7D93B13C" w14:textId="77777777" w:rsidR="00250878" w:rsidRPr="00F75FAF" w:rsidRDefault="00BB589F" w:rsidP="00C87AF3">
      <w:pPr>
        <w:rPr>
          <w:rFonts w:ascii="Arial" w:hAnsi="Arial" w:cs="Arial"/>
          <w:b/>
        </w:rPr>
      </w:pPr>
      <w:r>
        <w:rPr>
          <w:rFonts w:ascii="Arial" w:hAnsi="Arial" w:cs="Arial"/>
          <w:b/>
        </w:rPr>
        <w:t xml:space="preserve">7.1 </w:t>
      </w:r>
      <w:r w:rsidR="00250878" w:rsidRPr="00F75FAF">
        <w:rPr>
          <w:rFonts w:ascii="Arial" w:hAnsi="Arial" w:cs="Arial"/>
          <w:b/>
        </w:rPr>
        <w:t>Age demographics</w:t>
      </w:r>
    </w:p>
    <w:p w14:paraId="26035198" w14:textId="77777777" w:rsidR="00250878" w:rsidRDefault="00250878" w:rsidP="00327B9E">
      <w:pPr>
        <w:jc w:val="both"/>
        <w:rPr>
          <w:rFonts w:ascii="Arial" w:hAnsi="Arial" w:cs="Arial"/>
        </w:rPr>
      </w:pPr>
    </w:p>
    <w:p w14:paraId="685E055D" w14:textId="77777777" w:rsidR="00250878" w:rsidRPr="00F75FAF" w:rsidRDefault="00250878" w:rsidP="00327B9E">
      <w:pPr>
        <w:jc w:val="both"/>
        <w:rPr>
          <w:rFonts w:ascii="Arial" w:hAnsi="Arial" w:cs="Arial"/>
        </w:rPr>
      </w:pPr>
      <w:r w:rsidRPr="00F75FAF">
        <w:rPr>
          <w:rFonts w:ascii="Arial" w:hAnsi="Arial" w:cs="Arial"/>
        </w:rPr>
        <w:t xml:space="preserve">Recent figures confirmed that government labour-market policies, such as the Age Discrimination Act of 2006 and the Equality Act of 2010, have enabled older workers to stay in the labour market longer. Two thirds of the increase in employment since May 2010 has been among those aged 50 and over. Younger workers meanwhile experienced the biggest drop in employment during the recession and have not yet recovered to pre-2008 levels. A recent report found that young people might be held back by a lack of ‘employability’ skills including literacy, numeracy and self-management and that a positive proactive approach to work was lacking. Attitude and ability appeared to hinder them more than age. </w:t>
      </w:r>
      <w:r w:rsidRPr="00F75FAF">
        <w:rPr>
          <w:rStyle w:val="FootnoteReference"/>
          <w:rFonts w:ascii="Arial" w:hAnsi="Arial" w:cs="Arial"/>
        </w:rPr>
        <w:footnoteReference w:id="12"/>
      </w:r>
    </w:p>
    <w:p w14:paraId="7A00B61F" w14:textId="77777777" w:rsidR="00250878" w:rsidRPr="00F75FAF" w:rsidRDefault="00250878" w:rsidP="00327B9E">
      <w:pPr>
        <w:jc w:val="both"/>
        <w:rPr>
          <w:rFonts w:ascii="Arial" w:hAnsi="Arial" w:cs="Arial"/>
        </w:rPr>
      </w:pPr>
    </w:p>
    <w:p w14:paraId="0857AE57" w14:textId="77777777" w:rsidR="00250878" w:rsidRPr="00F75FAF" w:rsidRDefault="00250878" w:rsidP="00021FC7">
      <w:pPr>
        <w:jc w:val="both"/>
        <w:rPr>
          <w:rFonts w:ascii="Arial" w:hAnsi="Arial" w:cs="Arial"/>
        </w:rPr>
      </w:pPr>
      <w:r w:rsidRPr="00F75FAF">
        <w:rPr>
          <w:rFonts w:ascii="Arial" w:hAnsi="Arial" w:cs="Arial"/>
        </w:rPr>
        <w:t>An increasing number of employees intend to work past what was previously a Normal Retirement Date – some because they do not want to retire but many others because they simply cannot afford to. More than three in five (61%) UK employees expect to work beyond the traditional reti</w:t>
      </w:r>
      <w:r w:rsidR="00AA508E">
        <w:rPr>
          <w:rFonts w:ascii="Arial" w:hAnsi="Arial" w:cs="Arial"/>
        </w:rPr>
        <w:t>rement age of 65</w:t>
      </w:r>
      <w:r w:rsidRPr="00F75FAF">
        <w:rPr>
          <w:rFonts w:ascii="Arial" w:hAnsi="Arial" w:cs="Arial"/>
        </w:rPr>
        <w:t>.</w:t>
      </w:r>
      <w:r w:rsidR="00AA508E">
        <w:rPr>
          <w:rFonts w:ascii="Arial" w:hAnsi="Arial" w:cs="Arial"/>
        </w:rPr>
        <w:t xml:space="preserve"> </w:t>
      </w:r>
      <w:r w:rsidRPr="00F75FAF">
        <w:rPr>
          <w:rFonts w:ascii="Arial" w:hAnsi="Arial" w:cs="Arial"/>
        </w:rPr>
        <w:t>A survey by Canada Life Group Insurance reveals that more than one in five (22%) workers say that they will ‘definitely’ continue to work as they get older.</w:t>
      </w:r>
    </w:p>
    <w:p w14:paraId="26C7E273" w14:textId="77777777" w:rsidR="00D11DD2" w:rsidRDefault="00D11DD2" w:rsidP="00D11DD2">
      <w:pPr>
        <w:widowControl w:val="0"/>
        <w:autoSpaceDE w:val="0"/>
        <w:autoSpaceDN w:val="0"/>
        <w:adjustRightInd w:val="0"/>
        <w:jc w:val="both"/>
        <w:rPr>
          <w:rFonts w:ascii="Arial" w:hAnsi="Arial" w:cs="Arial"/>
        </w:rPr>
      </w:pPr>
    </w:p>
    <w:p w14:paraId="0BE415A3" w14:textId="496C3BC9"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Only 12% say that they would not work past the age o</w:t>
      </w:r>
      <w:r w:rsidR="00021FC7">
        <w:rPr>
          <w:rFonts w:ascii="Arial" w:hAnsi="Arial" w:cs="Arial"/>
        </w:rPr>
        <w:t xml:space="preserve">f 65 under any circumstances, </w:t>
      </w:r>
      <w:r w:rsidRPr="00F75FAF">
        <w:rPr>
          <w:rFonts w:ascii="Arial" w:hAnsi="Arial" w:cs="Arial"/>
        </w:rPr>
        <w:t>a sign that working beyond the age of 65 is fast becoming the norm for a majority of people. According to the research, with the UK facing an ageing workforce, employers will need to adapt the working environment accordingly to meet the requirements of an older workforce.</w:t>
      </w:r>
      <w:r w:rsidR="00D21FDA">
        <w:rPr>
          <w:rFonts w:ascii="Arial" w:hAnsi="Arial" w:cs="Arial"/>
        </w:rPr>
        <w:t xml:space="preserve"> </w:t>
      </w:r>
      <w:r w:rsidRPr="00F75FAF">
        <w:rPr>
          <w:rFonts w:ascii="Arial" w:hAnsi="Arial" w:cs="Arial"/>
        </w:rPr>
        <w:t>Younger respondents are most likely to believe that they will work past 65. Sixty nine per cent of those aged between 21 and 30 believe they will work after 65 compared to just 50% of those aged 50-60.</w:t>
      </w:r>
    </w:p>
    <w:p w14:paraId="481ED5FF" w14:textId="77777777" w:rsidR="00250878" w:rsidRPr="00F75FAF" w:rsidRDefault="00250878" w:rsidP="00327B9E">
      <w:pPr>
        <w:widowControl w:val="0"/>
        <w:autoSpaceDE w:val="0"/>
        <w:autoSpaceDN w:val="0"/>
        <w:adjustRightInd w:val="0"/>
        <w:spacing w:after="240"/>
        <w:jc w:val="both"/>
        <w:rPr>
          <w:rFonts w:ascii="Arial" w:hAnsi="Arial" w:cs="Arial"/>
        </w:rPr>
      </w:pPr>
      <w:r w:rsidRPr="00F75FAF">
        <w:rPr>
          <w:rFonts w:ascii="Arial" w:hAnsi="Arial" w:cs="Arial"/>
        </w:rPr>
        <w:t>Almost nine in ten respondents (88%) cite money worries as the reason they are likely to work past 65. A third (32%) say their pension savings will not be sufficient to fund retirement while 14% feel unprepared for retirement and are unsure how long their money will last. More than one in ten (14%) believe they cannot rely on a state pension.</w:t>
      </w:r>
    </w:p>
    <w:p w14:paraId="453712D3" w14:textId="77777777" w:rsidR="003D6FC8" w:rsidRDefault="00250878" w:rsidP="00327B9E">
      <w:pPr>
        <w:jc w:val="both"/>
        <w:rPr>
          <w:rFonts w:ascii="Arial" w:hAnsi="Arial" w:cs="Arial"/>
        </w:rPr>
      </w:pPr>
      <w:r w:rsidRPr="00F75FAF">
        <w:rPr>
          <w:rFonts w:ascii="Arial" w:hAnsi="Arial" w:cs="Arial"/>
        </w:rPr>
        <w:t>One effect is the impact on employee health. For example,</w:t>
      </w:r>
      <w:r w:rsidR="001524EB">
        <w:rPr>
          <w:rFonts w:ascii="Arial" w:hAnsi="Arial" w:cs="Arial"/>
        </w:rPr>
        <w:t xml:space="preserve"> GRiD research conducted in 2014</w:t>
      </w:r>
      <w:r w:rsidR="001524EB">
        <w:rPr>
          <w:rStyle w:val="FootnoteReference"/>
          <w:rFonts w:ascii="Arial" w:hAnsi="Arial"/>
        </w:rPr>
        <w:footnoteReference w:id="13"/>
      </w:r>
      <w:r w:rsidRPr="00F75FAF">
        <w:rPr>
          <w:rFonts w:ascii="Arial" w:hAnsi="Arial" w:cs="Arial"/>
        </w:rPr>
        <w:t xml:space="preserve"> found that one third of respondents reported that, overall, their workforce was getting older. Importantly for the health perspective was the finding that over a quarter believed that they had seen an increase in absence due to age related conditions (such as diabetes and arthritis). </w:t>
      </w:r>
    </w:p>
    <w:p w14:paraId="037BC37E" w14:textId="77777777" w:rsidR="003D6FC8" w:rsidRDefault="003D6FC8" w:rsidP="00327B9E">
      <w:pPr>
        <w:jc w:val="both"/>
        <w:rPr>
          <w:rFonts w:ascii="Arial" w:hAnsi="Arial" w:cs="Arial"/>
        </w:rPr>
      </w:pPr>
    </w:p>
    <w:p w14:paraId="34C53302" w14:textId="6CDA0842" w:rsidR="00250878" w:rsidRPr="00F75FAF" w:rsidRDefault="00250878" w:rsidP="00327B9E">
      <w:pPr>
        <w:jc w:val="both"/>
        <w:rPr>
          <w:rFonts w:ascii="Arial" w:hAnsi="Arial" w:cs="Arial"/>
        </w:rPr>
      </w:pPr>
      <w:r w:rsidRPr="00F75FAF">
        <w:rPr>
          <w:rFonts w:ascii="Arial" w:hAnsi="Arial" w:cs="Arial"/>
        </w:rPr>
        <w:t>Overall, other implications include:</w:t>
      </w:r>
    </w:p>
    <w:p w14:paraId="0C42A434" w14:textId="77777777" w:rsidR="00250878" w:rsidRPr="00F75FAF" w:rsidRDefault="00250878" w:rsidP="00327B9E">
      <w:pPr>
        <w:jc w:val="both"/>
        <w:rPr>
          <w:rFonts w:ascii="Arial" w:hAnsi="Arial" w:cs="Arial"/>
        </w:rPr>
      </w:pPr>
    </w:p>
    <w:p w14:paraId="73A21583" w14:textId="68FA95D7" w:rsidR="00250878" w:rsidRPr="00F75FAF" w:rsidRDefault="00250878" w:rsidP="00327B9E">
      <w:pPr>
        <w:pStyle w:val="ListParagraph"/>
        <w:numPr>
          <w:ilvl w:val="0"/>
          <w:numId w:val="5"/>
        </w:numPr>
        <w:jc w:val="both"/>
        <w:rPr>
          <w:rFonts w:ascii="Arial" w:hAnsi="Arial" w:cs="Arial"/>
        </w:rPr>
      </w:pPr>
      <w:r w:rsidRPr="00F75FAF">
        <w:rPr>
          <w:rFonts w:ascii="Arial" w:hAnsi="Arial" w:cs="Arial"/>
        </w:rPr>
        <w:lastRenderedPageBreak/>
        <w:t>Possible increases in the cost of health-related insurances</w:t>
      </w:r>
      <w:r w:rsidR="00C501D2">
        <w:rPr>
          <w:rFonts w:ascii="Arial" w:hAnsi="Arial" w:cs="Arial"/>
        </w:rPr>
        <w:t>. Research conducted in 2014 suggested that 43% of respondents expected higher costs</w:t>
      </w:r>
      <w:r w:rsidR="00C501D2">
        <w:rPr>
          <w:rStyle w:val="FootnoteReference"/>
          <w:rFonts w:ascii="Arial" w:hAnsi="Arial"/>
        </w:rPr>
        <w:footnoteReference w:id="14"/>
      </w:r>
    </w:p>
    <w:p w14:paraId="2C202C64" w14:textId="77777777" w:rsidR="00250878" w:rsidRPr="00F75FAF" w:rsidRDefault="00250878" w:rsidP="00327B9E">
      <w:pPr>
        <w:jc w:val="both"/>
        <w:rPr>
          <w:rFonts w:ascii="Arial" w:hAnsi="Arial" w:cs="Arial"/>
        </w:rPr>
      </w:pPr>
    </w:p>
    <w:p w14:paraId="6953BE16" w14:textId="77777777" w:rsidR="00250878" w:rsidRPr="00F75FAF" w:rsidRDefault="00250878" w:rsidP="00327B9E">
      <w:pPr>
        <w:pStyle w:val="ListParagraph"/>
        <w:numPr>
          <w:ilvl w:val="0"/>
          <w:numId w:val="5"/>
        </w:numPr>
        <w:jc w:val="both"/>
        <w:rPr>
          <w:rFonts w:ascii="Arial" w:hAnsi="Arial" w:cs="Arial"/>
        </w:rPr>
      </w:pPr>
      <w:r w:rsidRPr="00F75FAF">
        <w:rPr>
          <w:rFonts w:ascii="Arial" w:hAnsi="Arial" w:cs="Arial"/>
        </w:rPr>
        <w:t>The need to revisit traditional benefit structures (such as continuation of cover until retirement age)</w:t>
      </w:r>
    </w:p>
    <w:p w14:paraId="4CB02FF4" w14:textId="77777777" w:rsidR="00250878" w:rsidRPr="00F75FAF" w:rsidRDefault="00250878" w:rsidP="00327B9E">
      <w:pPr>
        <w:jc w:val="both"/>
        <w:rPr>
          <w:rFonts w:ascii="Arial" w:hAnsi="Arial" w:cs="Arial"/>
        </w:rPr>
      </w:pPr>
    </w:p>
    <w:p w14:paraId="1E2C74F1" w14:textId="701ED19E" w:rsidR="00250878" w:rsidRPr="00F75FAF" w:rsidRDefault="00250878" w:rsidP="00327B9E">
      <w:pPr>
        <w:pStyle w:val="ListParagraph"/>
        <w:numPr>
          <w:ilvl w:val="0"/>
          <w:numId w:val="5"/>
        </w:numPr>
        <w:jc w:val="both"/>
        <w:rPr>
          <w:rFonts w:ascii="Arial" w:hAnsi="Arial" w:cs="Arial"/>
        </w:rPr>
      </w:pPr>
      <w:r w:rsidRPr="00F75FAF">
        <w:rPr>
          <w:rFonts w:ascii="Arial" w:hAnsi="Arial" w:cs="Arial"/>
        </w:rPr>
        <w:t>Changing employee attitudes to the value of benefits</w:t>
      </w:r>
      <w:r w:rsidR="00C501D2">
        <w:rPr>
          <w:rFonts w:ascii="Arial" w:hAnsi="Arial" w:cs="Arial"/>
        </w:rPr>
        <w:t xml:space="preserve"> with 48% of employers planning to offer more choice</w:t>
      </w:r>
      <w:r w:rsidR="00C501D2">
        <w:rPr>
          <w:rStyle w:val="FootnoteReference"/>
          <w:rFonts w:ascii="Arial" w:hAnsi="Arial"/>
        </w:rPr>
        <w:footnoteReference w:id="15"/>
      </w:r>
    </w:p>
    <w:p w14:paraId="2A8EF81A" w14:textId="77777777" w:rsidR="00250878" w:rsidRPr="00F75FAF" w:rsidRDefault="00250878" w:rsidP="00210BDD">
      <w:pPr>
        <w:jc w:val="both"/>
        <w:rPr>
          <w:rFonts w:ascii="Arial" w:hAnsi="Arial" w:cs="Arial"/>
        </w:rPr>
      </w:pPr>
    </w:p>
    <w:p w14:paraId="49D0B9EA" w14:textId="77777777" w:rsidR="00250878" w:rsidRPr="00F75FAF" w:rsidRDefault="00250878" w:rsidP="00210BDD">
      <w:pPr>
        <w:jc w:val="both"/>
        <w:rPr>
          <w:rFonts w:ascii="Arial" w:hAnsi="Arial" w:cs="Arial"/>
        </w:rPr>
      </w:pPr>
      <w:r w:rsidRPr="00F75FAF">
        <w:rPr>
          <w:rFonts w:ascii="Arial" w:hAnsi="Arial" w:cs="Arial"/>
        </w:rPr>
        <w:t>Research among employers conducted in 2014</w:t>
      </w:r>
      <w:r w:rsidRPr="00F75FAF">
        <w:rPr>
          <w:rStyle w:val="FootnoteReference"/>
          <w:rFonts w:ascii="Arial" w:hAnsi="Arial" w:cs="Arial"/>
        </w:rPr>
        <w:footnoteReference w:id="16"/>
      </w:r>
      <w:r w:rsidRPr="00F75FAF">
        <w:rPr>
          <w:rFonts w:ascii="Arial" w:hAnsi="Arial" w:cs="Arial"/>
        </w:rPr>
        <w:t xml:space="preserve"> indicated that well-being and productivity strategies are also firmly in the spotlight, with some industries positively encouraging older employees to stay on for their knowledge and experience. This provides a strong wellness business case focusing on the initiatives, tools, governance, communications and reporting strategies required to deliver a successful model. Introducing proactive health screening programmes around preventative and chronic disease management may become part of an overall integrated health and wellness strategy. </w:t>
      </w:r>
    </w:p>
    <w:p w14:paraId="61D662BE" w14:textId="77777777" w:rsidR="00FC2F96" w:rsidRDefault="00FC2F96" w:rsidP="00FC2F96">
      <w:pPr>
        <w:widowControl w:val="0"/>
        <w:autoSpaceDE w:val="0"/>
        <w:autoSpaceDN w:val="0"/>
        <w:adjustRightInd w:val="0"/>
        <w:jc w:val="both"/>
        <w:rPr>
          <w:rFonts w:ascii="Arial" w:hAnsi="Arial" w:cs="Arial"/>
          <w:b/>
        </w:rPr>
      </w:pPr>
    </w:p>
    <w:p w14:paraId="2A63550D" w14:textId="77777777" w:rsidR="00250878" w:rsidRDefault="00BB589F" w:rsidP="00FC2F96">
      <w:pPr>
        <w:widowControl w:val="0"/>
        <w:autoSpaceDE w:val="0"/>
        <w:autoSpaceDN w:val="0"/>
        <w:adjustRightInd w:val="0"/>
        <w:jc w:val="both"/>
        <w:rPr>
          <w:rFonts w:ascii="Arial" w:hAnsi="Arial" w:cs="Arial"/>
          <w:b/>
        </w:rPr>
      </w:pPr>
      <w:r>
        <w:rPr>
          <w:rFonts w:ascii="Arial" w:hAnsi="Arial" w:cs="Arial"/>
          <w:b/>
        </w:rPr>
        <w:t xml:space="preserve">7.2 </w:t>
      </w:r>
      <w:r w:rsidR="00250878" w:rsidRPr="00F75FAF">
        <w:rPr>
          <w:rFonts w:ascii="Arial" w:hAnsi="Arial" w:cs="Arial"/>
          <w:b/>
        </w:rPr>
        <w:t>No more ‘jobs for life’</w:t>
      </w:r>
    </w:p>
    <w:p w14:paraId="67706F16" w14:textId="77777777" w:rsidR="00FC2F96" w:rsidRPr="00F75FAF" w:rsidRDefault="00FC2F96" w:rsidP="00FC2F96">
      <w:pPr>
        <w:widowControl w:val="0"/>
        <w:autoSpaceDE w:val="0"/>
        <w:autoSpaceDN w:val="0"/>
        <w:adjustRightInd w:val="0"/>
        <w:jc w:val="both"/>
        <w:rPr>
          <w:rFonts w:ascii="Arial" w:hAnsi="Arial" w:cs="Arial"/>
          <w:b/>
        </w:rPr>
      </w:pPr>
    </w:p>
    <w:p w14:paraId="3FC2A88B" w14:textId="77777777" w:rsidR="00250878" w:rsidRPr="00F75FAF" w:rsidRDefault="00250878" w:rsidP="00F75FAF">
      <w:pPr>
        <w:widowControl w:val="0"/>
        <w:autoSpaceDE w:val="0"/>
        <w:autoSpaceDN w:val="0"/>
        <w:adjustRightInd w:val="0"/>
        <w:spacing w:after="240"/>
        <w:jc w:val="both"/>
        <w:rPr>
          <w:rFonts w:ascii="Arial" w:hAnsi="Arial" w:cs="Arial"/>
        </w:rPr>
      </w:pPr>
      <w:r w:rsidRPr="00F75FAF">
        <w:rPr>
          <w:rFonts w:ascii="Arial" w:hAnsi="Arial" w:cs="Arial"/>
        </w:rPr>
        <w:t xml:space="preserve">The ‘paternalistic’ approach to employee benefits and welfare was often linked to the likelihood of an employee staying with the same employer (or at least in the same profession) for their entire working career. An employee could therefore see the value of a pension related to service and other benefits (such as life insurance) that protected the family in the event of death. </w:t>
      </w:r>
    </w:p>
    <w:p w14:paraId="388C5B07" w14:textId="3E076176" w:rsidR="001524EB" w:rsidRDefault="00021FC7" w:rsidP="00F75FAF">
      <w:pPr>
        <w:widowControl w:val="0"/>
        <w:autoSpaceDE w:val="0"/>
        <w:autoSpaceDN w:val="0"/>
        <w:adjustRightInd w:val="0"/>
        <w:spacing w:after="240"/>
        <w:jc w:val="both"/>
        <w:rPr>
          <w:rFonts w:ascii="Arial" w:hAnsi="Arial" w:cs="Arial"/>
        </w:rPr>
      </w:pPr>
      <w:r>
        <w:rPr>
          <w:rFonts w:ascii="Arial" w:hAnsi="Arial" w:cs="Arial"/>
        </w:rPr>
        <w:t>Nowadays (and for probably</w:t>
      </w:r>
      <w:r w:rsidR="00250878" w:rsidRPr="00F75FAF">
        <w:rPr>
          <w:rFonts w:ascii="Arial" w:hAnsi="Arial" w:cs="Arial"/>
        </w:rPr>
        <w:t xml:space="preserve"> the last three decades) we </w:t>
      </w:r>
      <w:r>
        <w:rPr>
          <w:rFonts w:ascii="Arial" w:hAnsi="Arial" w:cs="Arial"/>
        </w:rPr>
        <w:t xml:space="preserve">have </w:t>
      </w:r>
      <w:r w:rsidR="00250878" w:rsidRPr="00F75FAF">
        <w:rPr>
          <w:rFonts w:ascii="Arial" w:hAnsi="Arial" w:cs="Arial"/>
        </w:rPr>
        <w:t>tend</w:t>
      </w:r>
      <w:r>
        <w:rPr>
          <w:rFonts w:ascii="Arial" w:hAnsi="Arial" w:cs="Arial"/>
        </w:rPr>
        <w:t>ed</w:t>
      </w:r>
      <w:r w:rsidR="00250878" w:rsidRPr="00F75FAF">
        <w:rPr>
          <w:rFonts w:ascii="Arial" w:hAnsi="Arial" w:cs="Arial"/>
        </w:rPr>
        <w:t xml:space="preserve"> to change jobs more frequently since the benefits heydays of the early1970s. Average employment tenure in Britain was just over eight years in 1992 and was still the same in 2002. Average tenure for men rose between 2004 and 2011 from about 8.5 years to just over nine years in 2011. For women over the same period it rose from seven years to just over eight. The UK has for some time had the shortest average job tenure in Europe.</w:t>
      </w:r>
      <w:r w:rsidR="00250878" w:rsidRPr="00F75FAF">
        <w:rPr>
          <w:rStyle w:val="FootnoteReference"/>
          <w:rFonts w:ascii="Arial" w:hAnsi="Arial" w:cs="Arial"/>
        </w:rPr>
        <w:footnoteReference w:id="17"/>
      </w:r>
      <w:r w:rsidR="00250878" w:rsidRPr="00F75FAF">
        <w:rPr>
          <w:rFonts w:ascii="Arial" w:hAnsi="Arial" w:cs="Arial"/>
        </w:rPr>
        <w:t>Interestingly, in 2002 Greek workers had the longest tenure in Europe of nearly 13 years (no surprises there). Median tenure in the United States in January 2014 was 4.6 years.</w:t>
      </w:r>
      <w:r w:rsidR="00250878" w:rsidRPr="00F75FAF">
        <w:rPr>
          <w:rStyle w:val="FootnoteReference"/>
          <w:rFonts w:ascii="Arial" w:hAnsi="Arial" w:cs="Arial"/>
        </w:rPr>
        <w:footnoteReference w:id="18"/>
      </w:r>
    </w:p>
    <w:p w14:paraId="1D4A21D4" w14:textId="7B8CFBBF" w:rsidR="00250878" w:rsidRPr="001524EB" w:rsidRDefault="00BB589F" w:rsidP="00F75FAF">
      <w:pPr>
        <w:widowControl w:val="0"/>
        <w:autoSpaceDE w:val="0"/>
        <w:autoSpaceDN w:val="0"/>
        <w:adjustRightInd w:val="0"/>
        <w:spacing w:after="240"/>
        <w:jc w:val="both"/>
        <w:rPr>
          <w:rFonts w:ascii="Arial" w:hAnsi="Arial" w:cs="Arial"/>
        </w:rPr>
      </w:pPr>
      <w:r>
        <w:rPr>
          <w:rFonts w:ascii="Arial" w:hAnsi="Arial" w:cs="Arial"/>
          <w:b/>
        </w:rPr>
        <w:lastRenderedPageBreak/>
        <w:t xml:space="preserve">7.3 </w:t>
      </w:r>
      <w:r w:rsidR="00250878" w:rsidRPr="00F75FAF">
        <w:rPr>
          <w:rFonts w:ascii="Arial" w:hAnsi="Arial" w:cs="Arial"/>
          <w:b/>
        </w:rPr>
        <w:t>The Growth of self-employment (and businesses with no employees)</w:t>
      </w:r>
    </w:p>
    <w:p w14:paraId="4000938A" w14:textId="77777777" w:rsidR="00250878" w:rsidRPr="00F75FAF" w:rsidRDefault="00250878" w:rsidP="00F75FAF">
      <w:pPr>
        <w:widowControl w:val="0"/>
        <w:autoSpaceDE w:val="0"/>
        <w:autoSpaceDN w:val="0"/>
        <w:adjustRightInd w:val="0"/>
        <w:spacing w:after="240"/>
        <w:jc w:val="both"/>
        <w:rPr>
          <w:rFonts w:ascii="Arial" w:hAnsi="Arial" w:cs="Arial"/>
        </w:rPr>
      </w:pPr>
      <w:r w:rsidRPr="00F75FAF">
        <w:rPr>
          <w:rFonts w:ascii="Arial" w:hAnsi="Arial" w:cs="Arial"/>
        </w:rPr>
        <w:t>As has already been noted in the Employment Statistics above, the self-employed community has been growing rapidly. Some commentators have cited this as an example of the economy not doing very well – people losing their jobs or unable to find employment and therefore taking refuge in self-employment.</w:t>
      </w:r>
    </w:p>
    <w:p w14:paraId="7128E095" w14:textId="77777777" w:rsidR="00250878" w:rsidRPr="00F75FAF" w:rsidRDefault="00250878" w:rsidP="00F75FAF">
      <w:pPr>
        <w:widowControl w:val="0"/>
        <w:autoSpaceDE w:val="0"/>
        <w:autoSpaceDN w:val="0"/>
        <w:adjustRightInd w:val="0"/>
        <w:spacing w:after="240"/>
        <w:jc w:val="both"/>
        <w:rPr>
          <w:rFonts w:ascii="Arial" w:hAnsi="Arial" w:cs="Arial"/>
        </w:rPr>
      </w:pPr>
      <w:r w:rsidRPr="00F75FAF">
        <w:rPr>
          <w:rFonts w:ascii="Arial" w:hAnsi="Arial" w:cs="Arial"/>
        </w:rPr>
        <w:t>The picture is somewhat more complicated than this. It has been pointed out that</w:t>
      </w:r>
      <w:r w:rsidRPr="00F75FAF">
        <w:rPr>
          <w:rStyle w:val="FootnoteReference"/>
          <w:rFonts w:ascii="Arial" w:hAnsi="Arial" w:cs="Arial"/>
        </w:rPr>
        <w:footnoteReference w:id="19"/>
      </w:r>
      <w:r w:rsidRPr="00F75FAF">
        <w:rPr>
          <w:rFonts w:ascii="Arial" w:hAnsi="Arial" w:cs="Arial"/>
        </w:rPr>
        <w:t>:</w:t>
      </w:r>
    </w:p>
    <w:p w14:paraId="483CB0F6" w14:textId="77777777" w:rsidR="00250878" w:rsidRDefault="00250878" w:rsidP="00F75FAF">
      <w:pPr>
        <w:pStyle w:val="ListParagraph"/>
        <w:widowControl w:val="0"/>
        <w:numPr>
          <w:ilvl w:val="0"/>
          <w:numId w:val="6"/>
        </w:numPr>
        <w:autoSpaceDE w:val="0"/>
        <w:autoSpaceDN w:val="0"/>
        <w:adjustRightInd w:val="0"/>
        <w:spacing w:after="240"/>
        <w:jc w:val="both"/>
        <w:rPr>
          <w:rFonts w:ascii="Arial" w:hAnsi="Arial" w:cs="Arial"/>
        </w:rPr>
      </w:pPr>
      <w:r w:rsidRPr="00F75FAF">
        <w:rPr>
          <w:rFonts w:ascii="Arial" w:hAnsi="Arial" w:cs="Arial"/>
        </w:rPr>
        <w:t>Self-employment growth in the last five years has mainly come from the ‘professional’ class segment. This demonstrates a shift from the manufacturing to the service industries where survival in self-employment is less difficult</w:t>
      </w:r>
    </w:p>
    <w:p w14:paraId="5B5D9885" w14:textId="77777777" w:rsidR="00D11DD2" w:rsidRPr="00F75FAF" w:rsidRDefault="00D11DD2" w:rsidP="00D11DD2">
      <w:pPr>
        <w:pStyle w:val="ListParagraph"/>
        <w:widowControl w:val="0"/>
        <w:autoSpaceDE w:val="0"/>
        <w:autoSpaceDN w:val="0"/>
        <w:adjustRightInd w:val="0"/>
        <w:spacing w:after="240"/>
        <w:jc w:val="both"/>
        <w:rPr>
          <w:rFonts w:ascii="Arial" w:hAnsi="Arial" w:cs="Arial"/>
        </w:rPr>
      </w:pPr>
    </w:p>
    <w:p w14:paraId="30B10746" w14:textId="77777777" w:rsidR="00250878" w:rsidRDefault="00250878" w:rsidP="00F75FAF">
      <w:pPr>
        <w:pStyle w:val="ListParagraph"/>
        <w:widowControl w:val="0"/>
        <w:numPr>
          <w:ilvl w:val="0"/>
          <w:numId w:val="6"/>
        </w:numPr>
        <w:autoSpaceDE w:val="0"/>
        <w:autoSpaceDN w:val="0"/>
        <w:adjustRightInd w:val="0"/>
        <w:spacing w:after="240"/>
        <w:jc w:val="both"/>
        <w:rPr>
          <w:rFonts w:ascii="Arial" w:hAnsi="Arial" w:cs="Arial"/>
        </w:rPr>
      </w:pPr>
      <w:r w:rsidRPr="00F75FAF">
        <w:rPr>
          <w:rFonts w:ascii="Arial" w:hAnsi="Arial" w:cs="Arial"/>
        </w:rPr>
        <w:t>The increasing sophistication of technology enabling working from home or in a variety of environments (without the need for additional support)</w:t>
      </w:r>
    </w:p>
    <w:p w14:paraId="1270E3EC" w14:textId="77777777" w:rsidR="00D11DD2" w:rsidRPr="00D11DD2" w:rsidRDefault="00D11DD2" w:rsidP="00D11DD2">
      <w:pPr>
        <w:pStyle w:val="ListParagraph"/>
        <w:rPr>
          <w:rFonts w:ascii="Arial" w:hAnsi="Arial" w:cs="Arial"/>
        </w:rPr>
      </w:pPr>
    </w:p>
    <w:p w14:paraId="0FE47FE5" w14:textId="77777777" w:rsidR="00250878" w:rsidRDefault="00250878" w:rsidP="008B060C">
      <w:pPr>
        <w:pStyle w:val="ListParagraph"/>
        <w:widowControl w:val="0"/>
        <w:numPr>
          <w:ilvl w:val="0"/>
          <w:numId w:val="6"/>
        </w:numPr>
        <w:autoSpaceDE w:val="0"/>
        <w:autoSpaceDN w:val="0"/>
        <w:adjustRightInd w:val="0"/>
        <w:spacing w:after="240"/>
        <w:jc w:val="both"/>
        <w:rPr>
          <w:rFonts w:ascii="Arial" w:hAnsi="Arial" w:cs="Arial"/>
        </w:rPr>
      </w:pPr>
      <w:r w:rsidRPr="00F75FAF">
        <w:rPr>
          <w:rFonts w:ascii="Arial" w:hAnsi="Arial" w:cs="Arial"/>
        </w:rPr>
        <w:t>People are leading longer and healthier lives – the number of over-65s in self-employment has expanded by 140% since 2000, more than double the rate of any other age group</w:t>
      </w:r>
    </w:p>
    <w:p w14:paraId="4C0B3FA5" w14:textId="77777777" w:rsidR="00D11DD2" w:rsidRPr="00D11DD2" w:rsidRDefault="00D11DD2" w:rsidP="00D11DD2">
      <w:pPr>
        <w:pStyle w:val="ListParagraph"/>
        <w:rPr>
          <w:rFonts w:ascii="Arial" w:hAnsi="Arial" w:cs="Arial"/>
        </w:rPr>
      </w:pPr>
    </w:p>
    <w:p w14:paraId="66957368" w14:textId="77777777" w:rsidR="00250878" w:rsidRPr="00F75FAF" w:rsidRDefault="00250878" w:rsidP="008B060C">
      <w:pPr>
        <w:pStyle w:val="ListParagraph"/>
        <w:widowControl w:val="0"/>
        <w:numPr>
          <w:ilvl w:val="0"/>
          <w:numId w:val="6"/>
        </w:numPr>
        <w:autoSpaceDE w:val="0"/>
        <w:autoSpaceDN w:val="0"/>
        <w:adjustRightInd w:val="0"/>
        <w:spacing w:after="240"/>
        <w:jc w:val="both"/>
        <w:rPr>
          <w:rFonts w:ascii="Arial" w:hAnsi="Arial" w:cs="Arial"/>
        </w:rPr>
      </w:pPr>
      <w:r w:rsidRPr="00F75FAF">
        <w:rPr>
          <w:rFonts w:ascii="Arial" w:hAnsi="Arial" w:cs="Arial"/>
        </w:rPr>
        <w:t>There has been a baby boom – births in 2012 were the highest in 40 years and many parents are seeking the advantages of flexible working, which self-employment can bring</w:t>
      </w:r>
    </w:p>
    <w:p w14:paraId="6EA2771C" w14:textId="74475B6E" w:rsidR="00B64A1D" w:rsidRDefault="00250878" w:rsidP="00B64A1D">
      <w:pPr>
        <w:widowControl w:val="0"/>
        <w:autoSpaceDE w:val="0"/>
        <w:autoSpaceDN w:val="0"/>
        <w:adjustRightInd w:val="0"/>
        <w:spacing w:after="240"/>
        <w:jc w:val="both"/>
        <w:rPr>
          <w:rFonts w:ascii="Arial" w:hAnsi="Arial" w:cs="Arial"/>
        </w:rPr>
      </w:pPr>
      <w:r w:rsidRPr="00F75FAF">
        <w:rPr>
          <w:rFonts w:ascii="Arial" w:hAnsi="Arial" w:cs="Arial"/>
        </w:rPr>
        <w:t>Some estimates suggest that self-employment could exceed the public sector workforce by 2018.</w:t>
      </w:r>
      <w:r w:rsidR="00B64A1D">
        <w:rPr>
          <w:rFonts w:ascii="Arial" w:hAnsi="Arial" w:cs="Arial"/>
        </w:rPr>
        <w:t xml:space="preserve">  </w:t>
      </w:r>
    </w:p>
    <w:p w14:paraId="708B895D" w14:textId="31509731" w:rsidR="00B64A1D" w:rsidRPr="00B64A1D" w:rsidRDefault="00B64A1D" w:rsidP="00B64A1D">
      <w:pPr>
        <w:widowControl w:val="0"/>
        <w:autoSpaceDE w:val="0"/>
        <w:autoSpaceDN w:val="0"/>
        <w:adjustRightInd w:val="0"/>
        <w:spacing w:after="240"/>
        <w:jc w:val="both"/>
        <w:rPr>
          <w:rFonts w:ascii="Arial" w:hAnsi="Arial" w:cs="Arial"/>
          <w:b/>
        </w:rPr>
      </w:pPr>
      <w:r>
        <w:rPr>
          <w:rFonts w:ascii="Arial" w:hAnsi="Arial" w:cs="Arial"/>
          <w:b/>
        </w:rPr>
        <w:t>7.4 Attraction of self-insurance</w:t>
      </w:r>
    </w:p>
    <w:p w14:paraId="5E9FAFAA" w14:textId="29E3507D" w:rsidR="00B64A1D" w:rsidRDefault="00B64A1D" w:rsidP="00B64A1D">
      <w:pPr>
        <w:widowControl w:val="0"/>
        <w:autoSpaceDE w:val="0"/>
        <w:autoSpaceDN w:val="0"/>
        <w:adjustRightInd w:val="0"/>
        <w:spacing w:after="240"/>
        <w:jc w:val="both"/>
        <w:rPr>
          <w:rFonts w:ascii="Arial" w:hAnsi="Arial" w:cs="Arial"/>
        </w:rPr>
      </w:pPr>
      <w:r w:rsidRPr="00B64A1D">
        <w:rPr>
          <w:rFonts w:ascii="Arial" w:hAnsi="Arial" w:cs="Arial"/>
        </w:rPr>
        <w:t>For employers with large w</w:t>
      </w:r>
      <w:r>
        <w:rPr>
          <w:rFonts w:ascii="Arial" w:hAnsi="Arial" w:cs="Arial"/>
        </w:rPr>
        <w:t xml:space="preserve">orkforces, self-insurance of GIP can make </w:t>
      </w:r>
      <w:r w:rsidRPr="00B64A1D">
        <w:rPr>
          <w:rFonts w:ascii="Arial" w:hAnsi="Arial" w:cs="Arial"/>
        </w:rPr>
        <w:t>sense. The Equality Act 2010 (and its precursor the Disability Discrimination Act 1995) forced employers to ensure that they made ‘reasonable adjustments’ in the workplace to accommodate an</w:t>
      </w:r>
      <w:r>
        <w:rPr>
          <w:rFonts w:ascii="Arial" w:hAnsi="Arial" w:cs="Arial"/>
        </w:rPr>
        <w:t>y</w:t>
      </w:r>
      <w:r w:rsidRPr="00B64A1D">
        <w:rPr>
          <w:rFonts w:ascii="Arial" w:hAnsi="Arial" w:cs="Arial"/>
        </w:rPr>
        <w:t xml:space="preserve"> employee </w:t>
      </w:r>
      <w:r>
        <w:rPr>
          <w:rFonts w:ascii="Arial" w:hAnsi="Arial" w:cs="Arial"/>
        </w:rPr>
        <w:t>(or potential employee) with a disability. This</w:t>
      </w:r>
      <w:r w:rsidRPr="00B64A1D">
        <w:rPr>
          <w:rFonts w:ascii="Arial" w:hAnsi="Arial" w:cs="Arial"/>
        </w:rPr>
        <w:t xml:space="preserve"> resulted in a more focused approach to health risk management (often in partnership with both in-house and outsourced occupational health professionals). </w:t>
      </w:r>
      <w:r>
        <w:rPr>
          <w:rFonts w:ascii="Arial" w:hAnsi="Arial" w:cs="Arial"/>
        </w:rPr>
        <w:t>After quantifying the risk related to long -term sickness absence some organisations decided that this could be managed in-house without the costs associated with insurance. If fact, any employer who meets sickness absence costs out of payroll is self-insuring but they would not necessarily describe it as such.</w:t>
      </w:r>
    </w:p>
    <w:p w14:paraId="1093A5B4" w14:textId="36B73BA7" w:rsidR="00B64A1D" w:rsidRDefault="00B64A1D" w:rsidP="00B64A1D">
      <w:pPr>
        <w:widowControl w:val="0"/>
        <w:autoSpaceDE w:val="0"/>
        <w:autoSpaceDN w:val="0"/>
        <w:adjustRightInd w:val="0"/>
        <w:spacing w:after="240"/>
        <w:jc w:val="both"/>
        <w:rPr>
          <w:rFonts w:ascii="Arial" w:hAnsi="Arial" w:cs="Arial"/>
        </w:rPr>
      </w:pPr>
      <w:r>
        <w:rPr>
          <w:rFonts w:ascii="Arial" w:hAnsi="Arial" w:cs="Arial"/>
        </w:rPr>
        <w:t>As far as Group PMI is concerned</w:t>
      </w:r>
      <w:r w:rsidR="007C1215">
        <w:rPr>
          <w:rFonts w:ascii="Arial" w:hAnsi="Arial" w:cs="Arial"/>
        </w:rPr>
        <w:t>,</w:t>
      </w:r>
      <w:r>
        <w:rPr>
          <w:rFonts w:ascii="Arial" w:hAnsi="Arial" w:cs="Arial"/>
        </w:rPr>
        <w:t xml:space="preserve"> employers sometimes use a captive or an internal expense fund for their employees under HMRC rules, thereby </w:t>
      </w:r>
      <w:r>
        <w:rPr>
          <w:rFonts w:ascii="Arial" w:hAnsi="Arial" w:cs="Arial"/>
        </w:rPr>
        <w:lastRenderedPageBreak/>
        <w:t xml:space="preserve">accepting exposure to the risk themselves (and saving some Insurance Premium Tax). These plans, usually written under trust, started to become popular in the mid 1990s and probably </w:t>
      </w:r>
      <w:r w:rsidR="003D6FC8">
        <w:rPr>
          <w:rFonts w:ascii="Arial" w:hAnsi="Arial" w:cs="Arial"/>
        </w:rPr>
        <w:t xml:space="preserve">today </w:t>
      </w:r>
      <w:r>
        <w:rPr>
          <w:rFonts w:ascii="Arial" w:hAnsi="Arial" w:cs="Arial"/>
        </w:rPr>
        <w:t xml:space="preserve">account for about </w:t>
      </w:r>
      <w:r w:rsidR="003D6FC8">
        <w:rPr>
          <w:rFonts w:ascii="Arial" w:hAnsi="Arial" w:cs="Arial"/>
        </w:rPr>
        <w:t>400,000 group subscribers.</w:t>
      </w:r>
    </w:p>
    <w:p w14:paraId="7261F4B9" w14:textId="4E9CB2CA" w:rsidR="00D61F5A" w:rsidRPr="00FF5529" w:rsidRDefault="00D61F5A" w:rsidP="00B64A1D">
      <w:pPr>
        <w:widowControl w:val="0"/>
        <w:autoSpaceDE w:val="0"/>
        <w:autoSpaceDN w:val="0"/>
        <w:adjustRightInd w:val="0"/>
        <w:spacing w:after="240"/>
        <w:jc w:val="both"/>
        <w:rPr>
          <w:rFonts w:ascii="Arial" w:hAnsi="Arial" w:cs="Arial"/>
          <w:b/>
        </w:rPr>
      </w:pPr>
      <w:r w:rsidRPr="00FF5529">
        <w:rPr>
          <w:rFonts w:ascii="Arial" w:hAnsi="Arial" w:cs="Arial"/>
          <w:b/>
        </w:rPr>
        <w:t>7.5 Employee over-optimism</w:t>
      </w:r>
    </w:p>
    <w:p w14:paraId="6C83D7D5" w14:textId="34CED797" w:rsidR="00D61F5A" w:rsidRDefault="00D61F5A" w:rsidP="00B64A1D">
      <w:pPr>
        <w:widowControl w:val="0"/>
        <w:autoSpaceDE w:val="0"/>
        <w:autoSpaceDN w:val="0"/>
        <w:adjustRightInd w:val="0"/>
        <w:spacing w:after="240"/>
        <w:jc w:val="both"/>
        <w:rPr>
          <w:rFonts w:ascii="Arial" w:hAnsi="Arial" w:cs="Arial"/>
        </w:rPr>
      </w:pPr>
      <w:r>
        <w:rPr>
          <w:rFonts w:ascii="Arial" w:hAnsi="Arial" w:cs="Arial"/>
        </w:rPr>
        <w:t>Research indicates that employee</w:t>
      </w:r>
      <w:r w:rsidR="006E3743">
        <w:rPr>
          <w:rFonts w:ascii="Arial" w:hAnsi="Arial" w:cs="Arial"/>
        </w:rPr>
        <w:t>s</w:t>
      </w:r>
      <w:r>
        <w:rPr>
          <w:rFonts w:ascii="Arial" w:hAnsi="Arial" w:cs="Arial"/>
        </w:rPr>
        <w:t xml:space="preserve"> tend to be over-optimistic </w:t>
      </w:r>
      <w:r w:rsidR="00FF5529">
        <w:rPr>
          <w:rFonts w:ascii="Arial" w:hAnsi="Arial" w:cs="Arial"/>
        </w:rPr>
        <w:t xml:space="preserve">both as to what the </w:t>
      </w:r>
      <w:r w:rsidR="005E5D90">
        <w:rPr>
          <w:rFonts w:ascii="Arial" w:hAnsi="Arial" w:cs="Arial"/>
        </w:rPr>
        <w:t>State or their employer will provide</w:t>
      </w:r>
      <w:r w:rsidR="00FF5529">
        <w:rPr>
          <w:rFonts w:ascii="Arial" w:hAnsi="Arial" w:cs="Arial"/>
        </w:rPr>
        <w:t xml:space="preserve"> if they are unable to work for a long period</w:t>
      </w:r>
      <w:r w:rsidR="00FF5529">
        <w:rPr>
          <w:rStyle w:val="FootnoteReference"/>
          <w:rFonts w:ascii="Arial" w:hAnsi="Arial"/>
        </w:rPr>
        <w:footnoteReference w:id="20"/>
      </w:r>
      <w:r w:rsidR="00FF5529">
        <w:rPr>
          <w:rFonts w:ascii="Arial" w:hAnsi="Arial" w:cs="Arial"/>
        </w:rPr>
        <w:t>. People generally also undere</w:t>
      </w:r>
      <w:r w:rsidR="00A20429">
        <w:rPr>
          <w:rFonts w:ascii="Arial" w:hAnsi="Arial" w:cs="Arial"/>
        </w:rPr>
        <w:t>stimate the likelihood of long-t</w:t>
      </w:r>
      <w:r w:rsidR="00FF5529">
        <w:rPr>
          <w:rFonts w:ascii="Arial" w:hAnsi="Arial" w:cs="Arial"/>
        </w:rPr>
        <w:t>erm incapacity even though it is much more likely than death before age 65.</w:t>
      </w:r>
    </w:p>
    <w:p w14:paraId="32F66427" w14:textId="77777777" w:rsidR="00D61F5A" w:rsidRDefault="00D61F5A" w:rsidP="00B64A1D">
      <w:pPr>
        <w:widowControl w:val="0"/>
        <w:autoSpaceDE w:val="0"/>
        <w:autoSpaceDN w:val="0"/>
        <w:adjustRightInd w:val="0"/>
        <w:spacing w:after="240"/>
        <w:jc w:val="both"/>
        <w:rPr>
          <w:rFonts w:ascii="Arial" w:hAnsi="Arial" w:cs="Arial"/>
        </w:rPr>
      </w:pPr>
    </w:p>
    <w:p w14:paraId="4C5745CB" w14:textId="77777777" w:rsidR="006E4AF1" w:rsidRDefault="006E4AF1" w:rsidP="00CA5178">
      <w:pPr>
        <w:widowControl w:val="0"/>
        <w:autoSpaceDE w:val="0"/>
        <w:autoSpaceDN w:val="0"/>
        <w:adjustRightInd w:val="0"/>
        <w:spacing w:after="240"/>
        <w:rPr>
          <w:rFonts w:ascii="Arial" w:hAnsi="Arial" w:cs="Arial"/>
        </w:rPr>
      </w:pPr>
    </w:p>
    <w:p w14:paraId="4B1D6B44" w14:textId="77777777" w:rsidR="006E4AF1" w:rsidRDefault="006E4AF1" w:rsidP="00CA5178">
      <w:pPr>
        <w:widowControl w:val="0"/>
        <w:autoSpaceDE w:val="0"/>
        <w:autoSpaceDN w:val="0"/>
        <w:adjustRightInd w:val="0"/>
        <w:spacing w:after="240"/>
        <w:rPr>
          <w:rFonts w:ascii="Arial" w:hAnsi="Arial" w:cs="Arial"/>
        </w:rPr>
      </w:pPr>
    </w:p>
    <w:p w14:paraId="29F95B78" w14:textId="77777777" w:rsidR="00B60C8A" w:rsidRDefault="00B60C8A" w:rsidP="00CA5178">
      <w:pPr>
        <w:widowControl w:val="0"/>
        <w:autoSpaceDE w:val="0"/>
        <w:autoSpaceDN w:val="0"/>
        <w:adjustRightInd w:val="0"/>
        <w:spacing w:after="240"/>
        <w:rPr>
          <w:rFonts w:ascii="Arial" w:hAnsi="Arial" w:cs="Arial"/>
          <w:b/>
          <w:color w:val="943634"/>
          <w:sz w:val="28"/>
        </w:rPr>
      </w:pPr>
    </w:p>
    <w:p w14:paraId="5E36D0C3" w14:textId="77777777" w:rsidR="00B60C8A" w:rsidRDefault="00B60C8A" w:rsidP="00CA5178">
      <w:pPr>
        <w:widowControl w:val="0"/>
        <w:autoSpaceDE w:val="0"/>
        <w:autoSpaceDN w:val="0"/>
        <w:adjustRightInd w:val="0"/>
        <w:spacing w:after="240"/>
        <w:rPr>
          <w:rFonts w:ascii="Arial" w:hAnsi="Arial" w:cs="Arial"/>
          <w:b/>
          <w:color w:val="943634"/>
          <w:sz w:val="28"/>
        </w:rPr>
      </w:pPr>
    </w:p>
    <w:p w14:paraId="77F3B9F1" w14:textId="77777777" w:rsidR="00B60C8A" w:rsidRDefault="00B60C8A" w:rsidP="00CA5178">
      <w:pPr>
        <w:widowControl w:val="0"/>
        <w:autoSpaceDE w:val="0"/>
        <w:autoSpaceDN w:val="0"/>
        <w:adjustRightInd w:val="0"/>
        <w:spacing w:after="240"/>
        <w:rPr>
          <w:rFonts w:ascii="Arial" w:hAnsi="Arial" w:cs="Arial"/>
          <w:b/>
          <w:color w:val="943634"/>
          <w:sz w:val="28"/>
        </w:rPr>
      </w:pPr>
    </w:p>
    <w:p w14:paraId="5C3146B0" w14:textId="77777777" w:rsidR="00B60C8A" w:rsidRDefault="00B60C8A" w:rsidP="00CA5178">
      <w:pPr>
        <w:widowControl w:val="0"/>
        <w:autoSpaceDE w:val="0"/>
        <w:autoSpaceDN w:val="0"/>
        <w:adjustRightInd w:val="0"/>
        <w:spacing w:after="240"/>
        <w:rPr>
          <w:rFonts w:ascii="Arial" w:hAnsi="Arial" w:cs="Arial"/>
          <w:b/>
          <w:color w:val="943634"/>
          <w:sz w:val="28"/>
        </w:rPr>
      </w:pPr>
    </w:p>
    <w:p w14:paraId="6971BCC1" w14:textId="77777777" w:rsidR="00B60C8A" w:rsidRDefault="00B60C8A" w:rsidP="00CA5178">
      <w:pPr>
        <w:widowControl w:val="0"/>
        <w:autoSpaceDE w:val="0"/>
        <w:autoSpaceDN w:val="0"/>
        <w:adjustRightInd w:val="0"/>
        <w:spacing w:after="240"/>
        <w:rPr>
          <w:rFonts w:ascii="Arial" w:hAnsi="Arial" w:cs="Arial"/>
          <w:b/>
          <w:color w:val="943634"/>
          <w:sz w:val="28"/>
        </w:rPr>
      </w:pPr>
    </w:p>
    <w:p w14:paraId="4B632AC1" w14:textId="77777777" w:rsidR="00B60C8A" w:rsidRDefault="00B60C8A" w:rsidP="00CA5178">
      <w:pPr>
        <w:widowControl w:val="0"/>
        <w:autoSpaceDE w:val="0"/>
        <w:autoSpaceDN w:val="0"/>
        <w:adjustRightInd w:val="0"/>
        <w:spacing w:after="240"/>
        <w:rPr>
          <w:rFonts w:ascii="Arial" w:hAnsi="Arial" w:cs="Arial"/>
          <w:b/>
          <w:color w:val="943634"/>
          <w:sz w:val="28"/>
        </w:rPr>
      </w:pPr>
    </w:p>
    <w:p w14:paraId="366C0482" w14:textId="77777777" w:rsidR="00B60C8A" w:rsidRDefault="00B60C8A" w:rsidP="00CA5178">
      <w:pPr>
        <w:widowControl w:val="0"/>
        <w:autoSpaceDE w:val="0"/>
        <w:autoSpaceDN w:val="0"/>
        <w:adjustRightInd w:val="0"/>
        <w:spacing w:after="240"/>
        <w:rPr>
          <w:rFonts w:ascii="Arial" w:hAnsi="Arial" w:cs="Arial"/>
          <w:b/>
          <w:color w:val="943634"/>
          <w:sz w:val="28"/>
        </w:rPr>
      </w:pPr>
    </w:p>
    <w:p w14:paraId="68F5B342" w14:textId="77777777" w:rsidR="00B60C8A" w:rsidRDefault="00B60C8A" w:rsidP="00CA5178">
      <w:pPr>
        <w:widowControl w:val="0"/>
        <w:autoSpaceDE w:val="0"/>
        <w:autoSpaceDN w:val="0"/>
        <w:adjustRightInd w:val="0"/>
        <w:spacing w:after="240"/>
        <w:rPr>
          <w:rFonts w:ascii="Arial" w:hAnsi="Arial" w:cs="Arial"/>
          <w:b/>
          <w:color w:val="943634"/>
          <w:sz w:val="28"/>
        </w:rPr>
      </w:pPr>
    </w:p>
    <w:p w14:paraId="34EAE87C" w14:textId="77777777" w:rsidR="00B60C8A" w:rsidRDefault="00B60C8A" w:rsidP="00CA5178">
      <w:pPr>
        <w:widowControl w:val="0"/>
        <w:autoSpaceDE w:val="0"/>
        <w:autoSpaceDN w:val="0"/>
        <w:adjustRightInd w:val="0"/>
        <w:spacing w:after="240"/>
        <w:rPr>
          <w:rFonts w:ascii="Arial" w:hAnsi="Arial" w:cs="Arial"/>
          <w:b/>
          <w:color w:val="943634"/>
          <w:sz w:val="28"/>
        </w:rPr>
      </w:pPr>
    </w:p>
    <w:p w14:paraId="32E59A0A" w14:textId="77777777" w:rsidR="00B60C8A" w:rsidRDefault="00B60C8A" w:rsidP="00CA5178">
      <w:pPr>
        <w:widowControl w:val="0"/>
        <w:autoSpaceDE w:val="0"/>
        <w:autoSpaceDN w:val="0"/>
        <w:adjustRightInd w:val="0"/>
        <w:spacing w:after="240"/>
        <w:rPr>
          <w:rFonts w:ascii="Arial" w:hAnsi="Arial" w:cs="Arial"/>
          <w:b/>
          <w:color w:val="943634"/>
          <w:sz w:val="28"/>
        </w:rPr>
      </w:pPr>
    </w:p>
    <w:p w14:paraId="2D5345EE" w14:textId="77777777" w:rsidR="00B60C8A" w:rsidRDefault="00B60C8A" w:rsidP="00CA5178">
      <w:pPr>
        <w:widowControl w:val="0"/>
        <w:autoSpaceDE w:val="0"/>
        <w:autoSpaceDN w:val="0"/>
        <w:adjustRightInd w:val="0"/>
        <w:spacing w:after="240"/>
        <w:rPr>
          <w:rFonts w:ascii="Arial" w:hAnsi="Arial" w:cs="Arial"/>
          <w:b/>
          <w:color w:val="943634"/>
          <w:sz w:val="28"/>
        </w:rPr>
      </w:pPr>
    </w:p>
    <w:p w14:paraId="6EAE7C32" w14:textId="77777777" w:rsidR="00B60C8A" w:rsidRDefault="00B60C8A" w:rsidP="00CA5178">
      <w:pPr>
        <w:widowControl w:val="0"/>
        <w:autoSpaceDE w:val="0"/>
        <w:autoSpaceDN w:val="0"/>
        <w:adjustRightInd w:val="0"/>
        <w:spacing w:after="240"/>
        <w:rPr>
          <w:rFonts w:ascii="Arial" w:hAnsi="Arial" w:cs="Arial"/>
          <w:b/>
          <w:color w:val="943634"/>
          <w:sz w:val="28"/>
        </w:rPr>
      </w:pPr>
    </w:p>
    <w:p w14:paraId="7744D5BA" w14:textId="77777777" w:rsidR="0008197D" w:rsidRDefault="0008197D" w:rsidP="00CA5178">
      <w:pPr>
        <w:widowControl w:val="0"/>
        <w:autoSpaceDE w:val="0"/>
        <w:autoSpaceDN w:val="0"/>
        <w:adjustRightInd w:val="0"/>
        <w:spacing w:after="240"/>
        <w:rPr>
          <w:rFonts w:ascii="Arial" w:hAnsi="Arial" w:cs="Arial"/>
          <w:b/>
          <w:color w:val="943634"/>
          <w:sz w:val="28"/>
        </w:rPr>
      </w:pPr>
    </w:p>
    <w:p w14:paraId="4C888594" w14:textId="77777777" w:rsidR="002A60DE" w:rsidRDefault="002A60DE" w:rsidP="00CA5178">
      <w:pPr>
        <w:widowControl w:val="0"/>
        <w:autoSpaceDE w:val="0"/>
        <w:autoSpaceDN w:val="0"/>
        <w:adjustRightInd w:val="0"/>
        <w:spacing w:after="240"/>
        <w:rPr>
          <w:rFonts w:ascii="Arial" w:hAnsi="Arial" w:cs="Arial"/>
          <w:b/>
          <w:color w:val="943634"/>
          <w:sz w:val="28"/>
        </w:rPr>
      </w:pPr>
    </w:p>
    <w:p w14:paraId="2C794CFE" w14:textId="77777777" w:rsidR="002A60DE" w:rsidRDefault="002A60DE" w:rsidP="00CA5178">
      <w:pPr>
        <w:widowControl w:val="0"/>
        <w:autoSpaceDE w:val="0"/>
        <w:autoSpaceDN w:val="0"/>
        <w:adjustRightInd w:val="0"/>
        <w:spacing w:after="240"/>
        <w:rPr>
          <w:rFonts w:ascii="Arial" w:hAnsi="Arial" w:cs="Arial"/>
          <w:b/>
          <w:color w:val="943634"/>
          <w:sz w:val="28"/>
        </w:rPr>
      </w:pPr>
    </w:p>
    <w:p w14:paraId="6B47DF70" w14:textId="77777777" w:rsidR="00250878" w:rsidRPr="00C87AF3" w:rsidRDefault="00BB589F" w:rsidP="00CA5178">
      <w:pPr>
        <w:widowControl w:val="0"/>
        <w:autoSpaceDE w:val="0"/>
        <w:autoSpaceDN w:val="0"/>
        <w:adjustRightInd w:val="0"/>
        <w:spacing w:after="240"/>
        <w:rPr>
          <w:rFonts w:ascii="Arial" w:hAnsi="Arial" w:cs="Arial"/>
          <w:b/>
          <w:color w:val="943634"/>
          <w:sz w:val="28"/>
        </w:rPr>
      </w:pPr>
      <w:r>
        <w:rPr>
          <w:rFonts w:ascii="Arial" w:hAnsi="Arial" w:cs="Arial"/>
          <w:b/>
          <w:color w:val="943634"/>
          <w:sz w:val="28"/>
        </w:rPr>
        <w:lastRenderedPageBreak/>
        <w:t xml:space="preserve">8. </w:t>
      </w:r>
      <w:r w:rsidR="00250878" w:rsidRPr="00C87AF3">
        <w:rPr>
          <w:rFonts w:ascii="Arial" w:hAnsi="Arial" w:cs="Arial"/>
          <w:b/>
          <w:color w:val="943634"/>
          <w:sz w:val="28"/>
        </w:rPr>
        <w:t xml:space="preserve">Employee Benefit Statistics – are ‘traditional’ </w:t>
      </w:r>
      <w:r w:rsidR="00250878">
        <w:rPr>
          <w:rFonts w:ascii="Arial" w:hAnsi="Arial" w:cs="Arial"/>
          <w:b/>
          <w:color w:val="943634"/>
          <w:sz w:val="28"/>
        </w:rPr>
        <w:t>B</w:t>
      </w:r>
      <w:r w:rsidR="00250878" w:rsidRPr="00C87AF3">
        <w:rPr>
          <w:rFonts w:ascii="Arial" w:hAnsi="Arial" w:cs="Arial"/>
          <w:b/>
          <w:color w:val="943634"/>
          <w:sz w:val="28"/>
        </w:rPr>
        <w:t xml:space="preserve">enefit plans meeting </w:t>
      </w:r>
      <w:r w:rsidR="00250878">
        <w:rPr>
          <w:rFonts w:ascii="Arial" w:hAnsi="Arial" w:cs="Arial"/>
          <w:b/>
          <w:color w:val="943634"/>
          <w:sz w:val="28"/>
        </w:rPr>
        <w:t>E</w:t>
      </w:r>
      <w:r w:rsidR="00250878" w:rsidRPr="00C87AF3">
        <w:rPr>
          <w:rFonts w:ascii="Arial" w:hAnsi="Arial" w:cs="Arial"/>
          <w:b/>
          <w:color w:val="943634"/>
          <w:sz w:val="28"/>
        </w:rPr>
        <w:t>mployer needs?</w:t>
      </w:r>
    </w:p>
    <w:p w14:paraId="3F53C84B"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One</w:t>
      </w:r>
      <w:r w:rsidR="00AB23CD">
        <w:rPr>
          <w:rFonts w:ascii="Arial" w:hAnsi="Arial" w:cs="Arial"/>
        </w:rPr>
        <w:t xml:space="preserve"> way of investigating how well traditional</w:t>
      </w:r>
      <w:r w:rsidRPr="00F75FAF">
        <w:rPr>
          <w:rFonts w:ascii="Arial" w:hAnsi="Arial" w:cs="Arial"/>
        </w:rPr>
        <w:t xml:space="preserve"> health-related insurance benefits have been seen to meet employer needs over the years is to look at published statistics such as numbers of covered lives and number of schemes in force. The periods chosen endeavour to compare pre-recession years (the years up to and including 2008) and post-recession periods.</w:t>
      </w:r>
    </w:p>
    <w:p w14:paraId="0C37C1C9"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It is important to remember, however, that the recession was unusual because there was not a big rise in unemployment. In 1984 unemployment peaked at 11.9% and in 1993 it reached 10.7%</w:t>
      </w:r>
      <w:r w:rsidRPr="00F75FAF">
        <w:rPr>
          <w:rStyle w:val="FootnoteReference"/>
          <w:rFonts w:ascii="Arial" w:hAnsi="Arial" w:cs="Arial"/>
        </w:rPr>
        <w:footnoteReference w:id="21"/>
      </w:r>
      <w:r w:rsidRPr="00F75FAF">
        <w:rPr>
          <w:rFonts w:ascii="Arial" w:hAnsi="Arial" w:cs="Arial"/>
        </w:rPr>
        <w:t>. During the most recent downturn the peak was 8.5% in 2011 (it is currently 5.7%).</w:t>
      </w:r>
    </w:p>
    <w:p w14:paraId="5211FC02"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For the sake of this exercise the benefits chosen are Group Income Protection (GIP) and Group Private Medical Insurance (GPMI). Although Group Death In Service Benefits are related to ‘health’ in a way they are also often tied (in eligibility terms) to pension scheme membership. So their growth or decline is skewed to what is happening elsewhere. GIP and GPMI are more likely to be free standing (although there has been some overlap with pension eligibility in the case of GIP). Group Critical Illness is not included because growth is starting from a very low base, although it looks encouraging.</w:t>
      </w:r>
    </w:p>
    <w:p w14:paraId="16FDB737" w14:textId="203E940B"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The following table sets out the number of GIP schemes in force between 2005 and 2014</w:t>
      </w:r>
      <w:r w:rsidR="00502789">
        <w:rPr>
          <w:rStyle w:val="FootnoteReference"/>
          <w:rFonts w:ascii="Arial" w:hAnsi="Arial"/>
        </w:rPr>
        <w:footnoteReference w:id="22"/>
      </w:r>
      <w:r w:rsidRPr="00F75FAF">
        <w:rPr>
          <w:rFonts w:ascii="Arial" w:hAnsi="Arial" w:cs="Arial"/>
        </w:rPr>
        <w:t>:</w:t>
      </w:r>
    </w:p>
    <w:p w14:paraId="1E6A6E55" w14:textId="77777777" w:rsidR="00250878" w:rsidRPr="00F75FAF" w:rsidRDefault="00250878" w:rsidP="008B060C">
      <w:pPr>
        <w:jc w:val="both"/>
        <w:rPr>
          <w:rFonts w:ascii="Arial" w:hAnsi="Arial" w:cs="Arial"/>
          <w:b/>
          <w:i/>
        </w:rPr>
      </w:pPr>
      <w:r w:rsidRPr="00F75FAF">
        <w:rPr>
          <w:rFonts w:ascii="Arial" w:hAnsi="Arial" w:cs="Arial"/>
          <w:b/>
          <w:i/>
        </w:rPr>
        <w:t>Group Income Protection Insurance</w:t>
      </w:r>
    </w:p>
    <w:p w14:paraId="741772F1" w14:textId="48AD88FC" w:rsidR="00250878" w:rsidRPr="00F75FAF" w:rsidRDefault="00502789" w:rsidP="008B060C">
      <w:pPr>
        <w:jc w:val="both"/>
        <w:rPr>
          <w:rFonts w:ascii="Arial" w:hAnsi="Arial" w:cs="Arial"/>
          <w:b/>
          <w:i/>
        </w:rPr>
      </w:pPr>
      <w:r>
        <w:rPr>
          <w:rFonts w:ascii="Arial" w:hAnsi="Arial" w:cs="Arial"/>
          <w:b/>
          <w:i/>
        </w:rPr>
        <w:t>Number of Schemes (T</w:t>
      </w:r>
      <w:r w:rsidR="00250878" w:rsidRPr="00F75FAF">
        <w:rPr>
          <w:rFonts w:ascii="Arial" w:hAnsi="Arial" w:cs="Arial"/>
          <w:b/>
          <w:i/>
        </w:rPr>
        <w:t>housands)</w:t>
      </w:r>
    </w:p>
    <w:p w14:paraId="42A16D01" w14:textId="77777777" w:rsidR="00250878" w:rsidRPr="00F75FAF" w:rsidRDefault="00250878" w:rsidP="002F336D">
      <w:pPr>
        <w:rPr>
          <w:rFonts w:ascii="Arial" w:hAnsi="Arial" w:cs="Arial"/>
        </w:rPr>
      </w:pPr>
    </w:p>
    <w:tbl>
      <w:tblPr>
        <w:tblStyle w:val="GridTable1Light-Accent21"/>
        <w:tblW w:w="8359" w:type="dxa"/>
        <w:tblLook w:val="00A0" w:firstRow="1" w:lastRow="0" w:firstColumn="1" w:lastColumn="0" w:noHBand="0" w:noVBand="0"/>
      </w:tblPr>
      <w:tblGrid>
        <w:gridCol w:w="829"/>
        <w:gridCol w:w="829"/>
        <w:gridCol w:w="829"/>
        <w:gridCol w:w="829"/>
        <w:gridCol w:w="829"/>
        <w:gridCol w:w="829"/>
        <w:gridCol w:w="829"/>
        <w:gridCol w:w="829"/>
        <w:gridCol w:w="829"/>
        <w:gridCol w:w="898"/>
      </w:tblGrid>
      <w:tr w:rsidR="00250878" w:rsidRPr="00DD55F3" w14:paraId="1D07C1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5DF971B" w14:textId="77777777" w:rsidR="00250878" w:rsidRPr="00AA508E" w:rsidRDefault="00250878" w:rsidP="002F336D">
            <w:pPr>
              <w:rPr>
                <w:rFonts w:ascii="Arial" w:hAnsi="Arial" w:cs="Arial"/>
                <w:sz w:val="22"/>
              </w:rPr>
            </w:pPr>
            <w:r w:rsidRPr="00AA508E">
              <w:rPr>
                <w:rFonts w:ascii="Arial" w:hAnsi="Arial" w:cs="Arial"/>
                <w:bCs w:val="0"/>
                <w:sz w:val="22"/>
              </w:rPr>
              <w:t>2005</w:t>
            </w:r>
          </w:p>
        </w:tc>
        <w:tc>
          <w:tcPr>
            <w:tcW w:w="829" w:type="dxa"/>
          </w:tcPr>
          <w:p w14:paraId="2DB4B52F"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2006</w:t>
            </w:r>
          </w:p>
        </w:tc>
        <w:tc>
          <w:tcPr>
            <w:tcW w:w="829" w:type="dxa"/>
          </w:tcPr>
          <w:p w14:paraId="0897A5C4"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2007</w:t>
            </w:r>
          </w:p>
        </w:tc>
        <w:tc>
          <w:tcPr>
            <w:tcW w:w="829" w:type="dxa"/>
          </w:tcPr>
          <w:p w14:paraId="3CBF13F0"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2008</w:t>
            </w:r>
          </w:p>
        </w:tc>
        <w:tc>
          <w:tcPr>
            <w:tcW w:w="829" w:type="dxa"/>
          </w:tcPr>
          <w:p w14:paraId="096CBFD3"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2009</w:t>
            </w:r>
          </w:p>
        </w:tc>
        <w:tc>
          <w:tcPr>
            <w:tcW w:w="829" w:type="dxa"/>
          </w:tcPr>
          <w:p w14:paraId="2C07A8C4"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2010</w:t>
            </w:r>
          </w:p>
        </w:tc>
        <w:tc>
          <w:tcPr>
            <w:tcW w:w="829" w:type="dxa"/>
          </w:tcPr>
          <w:p w14:paraId="3CE23A00"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2011</w:t>
            </w:r>
          </w:p>
        </w:tc>
        <w:tc>
          <w:tcPr>
            <w:tcW w:w="829" w:type="dxa"/>
          </w:tcPr>
          <w:p w14:paraId="4DD7E0D3"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2012</w:t>
            </w:r>
          </w:p>
        </w:tc>
        <w:tc>
          <w:tcPr>
            <w:tcW w:w="829" w:type="dxa"/>
          </w:tcPr>
          <w:p w14:paraId="6DD8DBC9"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2013</w:t>
            </w:r>
          </w:p>
        </w:tc>
        <w:tc>
          <w:tcPr>
            <w:tcW w:w="898" w:type="dxa"/>
          </w:tcPr>
          <w:p w14:paraId="3374A5C2" w14:textId="77777777" w:rsidR="00250878" w:rsidRPr="00F75FAF" w:rsidRDefault="00250878" w:rsidP="002F336D">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2014</w:t>
            </w:r>
          </w:p>
        </w:tc>
      </w:tr>
      <w:tr w:rsidR="00250878" w:rsidRPr="00DD55F3" w14:paraId="0C1A53C5" w14:textId="77777777">
        <w:tc>
          <w:tcPr>
            <w:cnfStyle w:val="001000000000" w:firstRow="0" w:lastRow="0" w:firstColumn="1" w:lastColumn="0" w:oddVBand="0" w:evenVBand="0" w:oddHBand="0" w:evenHBand="0" w:firstRowFirstColumn="0" w:firstRowLastColumn="0" w:lastRowFirstColumn="0" w:lastRowLastColumn="0"/>
            <w:tcW w:w="829" w:type="dxa"/>
          </w:tcPr>
          <w:p w14:paraId="4D896EB9" w14:textId="77777777" w:rsidR="00250878" w:rsidRPr="00AA508E" w:rsidRDefault="00250878" w:rsidP="002F336D">
            <w:pPr>
              <w:rPr>
                <w:rFonts w:ascii="Arial" w:hAnsi="Arial" w:cs="Arial"/>
                <w:b w:val="0"/>
                <w:sz w:val="22"/>
              </w:rPr>
            </w:pPr>
            <w:r w:rsidRPr="00AA508E">
              <w:rPr>
                <w:rFonts w:ascii="Arial" w:hAnsi="Arial" w:cs="Arial"/>
                <w:b w:val="0"/>
                <w:bCs w:val="0"/>
                <w:sz w:val="22"/>
              </w:rPr>
              <w:t>19.5</w:t>
            </w:r>
          </w:p>
        </w:tc>
        <w:tc>
          <w:tcPr>
            <w:tcW w:w="829" w:type="dxa"/>
          </w:tcPr>
          <w:p w14:paraId="2C699795"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19.0</w:t>
            </w:r>
          </w:p>
        </w:tc>
        <w:tc>
          <w:tcPr>
            <w:tcW w:w="829" w:type="dxa"/>
          </w:tcPr>
          <w:p w14:paraId="69E909F1"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18.9</w:t>
            </w:r>
          </w:p>
        </w:tc>
        <w:tc>
          <w:tcPr>
            <w:tcW w:w="829" w:type="dxa"/>
          </w:tcPr>
          <w:p w14:paraId="2C2F4216"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18.6</w:t>
            </w:r>
          </w:p>
        </w:tc>
        <w:tc>
          <w:tcPr>
            <w:tcW w:w="829" w:type="dxa"/>
          </w:tcPr>
          <w:p w14:paraId="2C07102C"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17.8</w:t>
            </w:r>
          </w:p>
        </w:tc>
        <w:tc>
          <w:tcPr>
            <w:tcW w:w="829" w:type="dxa"/>
          </w:tcPr>
          <w:p w14:paraId="26043B15"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17.5</w:t>
            </w:r>
          </w:p>
        </w:tc>
        <w:tc>
          <w:tcPr>
            <w:tcW w:w="829" w:type="dxa"/>
          </w:tcPr>
          <w:p w14:paraId="0B5B58F8"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17.3</w:t>
            </w:r>
          </w:p>
        </w:tc>
        <w:tc>
          <w:tcPr>
            <w:tcW w:w="829" w:type="dxa"/>
          </w:tcPr>
          <w:p w14:paraId="4A70C862"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17.2</w:t>
            </w:r>
          </w:p>
        </w:tc>
        <w:tc>
          <w:tcPr>
            <w:tcW w:w="829" w:type="dxa"/>
          </w:tcPr>
          <w:p w14:paraId="63C42A78"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17.2</w:t>
            </w:r>
          </w:p>
        </w:tc>
        <w:tc>
          <w:tcPr>
            <w:tcW w:w="898" w:type="dxa"/>
          </w:tcPr>
          <w:p w14:paraId="779E39BF" w14:textId="77777777" w:rsidR="00250878" w:rsidRPr="00F75FAF" w:rsidRDefault="00250878" w:rsidP="002F336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17.1</w:t>
            </w:r>
          </w:p>
        </w:tc>
      </w:tr>
    </w:tbl>
    <w:p w14:paraId="690C57F3" w14:textId="77777777" w:rsidR="00250878" w:rsidRPr="00F75FAF" w:rsidRDefault="00250878" w:rsidP="008B060C">
      <w:pPr>
        <w:widowControl w:val="0"/>
        <w:autoSpaceDE w:val="0"/>
        <w:autoSpaceDN w:val="0"/>
        <w:adjustRightInd w:val="0"/>
        <w:jc w:val="both"/>
        <w:rPr>
          <w:rFonts w:ascii="Arial" w:hAnsi="Arial" w:cs="Arial"/>
        </w:rPr>
      </w:pPr>
    </w:p>
    <w:p w14:paraId="1996E5A3" w14:textId="77777777" w:rsidR="00250878" w:rsidRPr="00F75FAF" w:rsidRDefault="00250878" w:rsidP="008B060C">
      <w:pPr>
        <w:widowControl w:val="0"/>
        <w:autoSpaceDE w:val="0"/>
        <w:autoSpaceDN w:val="0"/>
        <w:adjustRightInd w:val="0"/>
        <w:jc w:val="both"/>
        <w:rPr>
          <w:rFonts w:ascii="Arial" w:hAnsi="Arial" w:cs="Arial"/>
        </w:rPr>
      </w:pPr>
      <w:r w:rsidRPr="00F75FAF">
        <w:rPr>
          <w:rFonts w:ascii="Arial" w:hAnsi="Arial" w:cs="Arial"/>
        </w:rPr>
        <w:t>Numbers of schemes declined steadily from about 19.5 thousand in 2005 but steadied at just over 17 thousand from 2011 onwards. In other words, almost 2.5 thousand schemes have closed over a nine-year period. The main culprit seems to have been the effect of the recession on small businesses, with scheme numbers declining steadily from 2008 onwards.</w:t>
      </w:r>
    </w:p>
    <w:p w14:paraId="4CF46852" w14:textId="06CD8A27" w:rsidR="00250878" w:rsidRPr="00F75FAF" w:rsidRDefault="00250878" w:rsidP="00CA5178">
      <w:pPr>
        <w:widowControl w:val="0"/>
        <w:autoSpaceDE w:val="0"/>
        <w:autoSpaceDN w:val="0"/>
        <w:adjustRightInd w:val="0"/>
        <w:spacing w:after="240"/>
        <w:rPr>
          <w:rFonts w:ascii="Arial" w:hAnsi="Arial" w:cs="Arial"/>
        </w:rPr>
      </w:pPr>
      <w:r w:rsidRPr="00F75FAF">
        <w:rPr>
          <w:rFonts w:ascii="Arial" w:hAnsi="Arial" w:cs="Arial"/>
        </w:rPr>
        <w:t>Here is a table setting out the number of covered lives over the same period</w:t>
      </w:r>
      <w:r w:rsidR="00502789">
        <w:rPr>
          <w:rStyle w:val="FootnoteReference"/>
          <w:rFonts w:ascii="Arial" w:hAnsi="Arial"/>
        </w:rPr>
        <w:footnoteReference w:id="23"/>
      </w:r>
      <w:r w:rsidRPr="00F75FAF">
        <w:rPr>
          <w:rFonts w:ascii="Arial" w:hAnsi="Arial" w:cs="Arial"/>
        </w:rPr>
        <w:t>:</w:t>
      </w:r>
    </w:p>
    <w:p w14:paraId="5752DDEA" w14:textId="77777777" w:rsidR="00250878" w:rsidRPr="00F75FAF" w:rsidRDefault="00250878" w:rsidP="003A05F7">
      <w:pPr>
        <w:rPr>
          <w:rFonts w:ascii="Arial" w:hAnsi="Arial" w:cs="Arial"/>
          <w:b/>
          <w:i/>
        </w:rPr>
      </w:pPr>
      <w:r w:rsidRPr="00F75FAF">
        <w:rPr>
          <w:rFonts w:ascii="Arial" w:hAnsi="Arial" w:cs="Arial"/>
          <w:b/>
          <w:i/>
        </w:rPr>
        <w:t>Group Income Protection Insurance</w:t>
      </w:r>
    </w:p>
    <w:p w14:paraId="211848D4" w14:textId="77777777" w:rsidR="00250878" w:rsidRPr="00F75FAF" w:rsidRDefault="00250878" w:rsidP="003A05F7">
      <w:pPr>
        <w:rPr>
          <w:rFonts w:ascii="Arial" w:hAnsi="Arial" w:cs="Arial"/>
          <w:b/>
          <w:i/>
        </w:rPr>
      </w:pPr>
      <w:r w:rsidRPr="00F75FAF">
        <w:rPr>
          <w:rFonts w:ascii="Arial" w:hAnsi="Arial" w:cs="Arial"/>
          <w:b/>
          <w:i/>
        </w:rPr>
        <w:t>Numbers of Covered Lives (Millions)</w:t>
      </w:r>
    </w:p>
    <w:p w14:paraId="3BAEB94B" w14:textId="77777777" w:rsidR="00250878" w:rsidRPr="00F75FAF" w:rsidRDefault="00250878" w:rsidP="003A05F7">
      <w:pPr>
        <w:rPr>
          <w:rFonts w:ascii="Arial" w:hAnsi="Arial" w:cs="Arial"/>
        </w:rPr>
      </w:pPr>
    </w:p>
    <w:tbl>
      <w:tblPr>
        <w:tblStyle w:val="GridTable1Light-Accent21"/>
        <w:tblW w:w="8359" w:type="dxa"/>
        <w:tblLook w:val="00A0" w:firstRow="1" w:lastRow="0" w:firstColumn="1" w:lastColumn="0" w:noHBand="0" w:noVBand="0"/>
      </w:tblPr>
      <w:tblGrid>
        <w:gridCol w:w="829"/>
        <w:gridCol w:w="829"/>
        <w:gridCol w:w="829"/>
        <w:gridCol w:w="829"/>
        <w:gridCol w:w="829"/>
        <w:gridCol w:w="829"/>
        <w:gridCol w:w="829"/>
        <w:gridCol w:w="829"/>
        <w:gridCol w:w="829"/>
        <w:gridCol w:w="898"/>
      </w:tblGrid>
      <w:tr w:rsidR="00250878" w:rsidRPr="00DD55F3" w14:paraId="09B0639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90748A4" w14:textId="77777777" w:rsidR="00250878" w:rsidRPr="00AA508E" w:rsidRDefault="00250878" w:rsidP="003A05F7">
            <w:pPr>
              <w:rPr>
                <w:rFonts w:ascii="Arial" w:hAnsi="Arial" w:cs="Arial"/>
                <w:sz w:val="22"/>
              </w:rPr>
            </w:pPr>
            <w:r w:rsidRPr="00AA508E">
              <w:rPr>
                <w:rFonts w:ascii="Arial" w:hAnsi="Arial" w:cs="Arial"/>
                <w:bCs w:val="0"/>
                <w:sz w:val="22"/>
              </w:rPr>
              <w:t>2005</w:t>
            </w:r>
          </w:p>
        </w:tc>
        <w:tc>
          <w:tcPr>
            <w:tcW w:w="829" w:type="dxa"/>
          </w:tcPr>
          <w:p w14:paraId="677A7F9C"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2006</w:t>
            </w:r>
          </w:p>
        </w:tc>
        <w:tc>
          <w:tcPr>
            <w:tcW w:w="829" w:type="dxa"/>
          </w:tcPr>
          <w:p w14:paraId="617E812D"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2007</w:t>
            </w:r>
          </w:p>
        </w:tc>
        <w:tc>
          <w:tcPr>
            <w:tcW w:w="829" w:type="dxa"/>
          </w:tcPr>
          <w:p w14:paraId="4D2E7EB4"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2008</w:t>
            </w:r>
          </w:p>
        </w:tc>
        <w:tc>
          <w:tcPr>
            <w:tcW w:w="829" w:type="dxa"/>
          </w:tcPr>
          <w:p w14:paraId="0BBF93B0"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2009</w:t>
            </w:r>
          </w:p>
        </w:tc>
        <w:tc>
          <w:tcPr>
            <w:tcW w:w="829" w:type="dxa"/>
          </w:tcPr>
          <w:p w14:paraId="4F9187AD"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2010</w:t>
            </w:r>
          </w:p>
        </w:tc>
        <w:tc>
          <w:tcPr>
            <w:tcW w:w="829" w:type="dxa"/>
          </w:tcPr>
          <w:p w14:paraId="1D0ECF4B"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2011</w:t>
            </w:r>
          </w:p>
        </w:tc>
        <w:tc>
          <w:tcPr>
            <w:tcW w:w="829" w:type="dxa"/>
          </w:tcPr>
          <w:p w14:paraId="5C3322BF"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2012</w:t>
            </w:r>
          </w:p>
        </w:tc>
        <w:tc>
          <w:tcPr>
            <w:tcW w:w="829" w:type="dxa"/>
          </w:tcPr>
          <w:p w14:paraId="30C8E390"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2013</w:t>
            </w:r>
          </w:p>
        </w:tc>
        <w:tc>
          <w:tcPr>
            <w:tcW w:w="898" w:type="dxa"/>
          </w:tcPr>
          <w:p w14:paraId="25CECD8D"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2014</w:t>
            </w:r>
          </w:p>
        </w:tc>
      </w:tr>
      <w:tr w:rsidR="00250878" w:rsidRPr="00DD55F3" w14:paraId="3723A82B" w14:textId="77777777">
        <w:tc>
          <w:tcPr>
            <w:cnfStyle w:val="001000000000" w:firstRow="0" w:lastRow="0" w:firstColumn="1" w:lastColumn="0" w:oddVBand="0" w:evenVBand="0" w:oddHBand="0" w:evenHBand="0" w:firstRowFirstColumn="0" w:firstRowLastColumn="0" w:lastRowFirstColumn="0" w:lastRowLastColumn="0"/>
            <w:tcW w:w="829" w:type="dxa"/>
          </w:tcPr>
          <w:p w14:paraId="4EE8F7EF" w14:textId="77777777" w:rsidR="00250878" w:rsidRPr="00F75FAF" w:rsidRDefault="00250878" w:rsidP="003A05F7">
            <w:pPr>
              <w:rPr>
                <w:rFonts w:ascii="Arial" w:hAnsi="Arial" w:cs="Arial"/>
                <w:sz w:val="22"/>
              </w:rPr>
            </w:pPr>
            <w:r w:rsidRPr="00F75FAF">
              <w:rPr>
                <w:rFonts w:ascii="Arial" w:hAnsi="Arial" w:cs="Arial"/>
                <w:b w:val="0"/>
                <w:bCs w:val="0"/>
                <w:sz w:val="22"/>
              </w:rPr>
              <w:t>1.68</w:t>
            </w:r>
          </w:p>
        </w:tc>
        <w:tc>
          <w:tcPr>
            <w:tcW w:w="829" w:type="dxa"/>
          </w:tcPr>
          <w:p w14:paraId="5A7C7D7D"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1.73</w:t>
            </w:r>
          </w:p>
        </w:tc>
        <w:tc>
          <w:tcPr>
            <w:tcW w:w="829" w:type="dxa"/>
          </w:tcPr>
          <w:p w14:paraId="74E7134D"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1.72</w:t>
            </w:r>
          </w:p>
        </w:tc>
        <w:tc>
          <w:tcPr>
            <w:tcW w:w="829" w:type="dxa"/>
          </w:tcPr>
          <w:p w14:paraId="5FDC6A94"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1.76</w:t>
            </w:r>
          </w:p>
        </w:tc>
        <w:tc>
          <w:tcPr>
            <w:tcW w:w="829" w:type="dxa"/>
          </w:tcPr>
          <w:p w14:paraId="25F1A87A"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1.78</w:t>
            </w:r>
          </w:p>
        </w:tc>
        <w:tc>
          <w:tcPr>
            <w:tcW w:w="829" w:type="dxa"/>
          </w:tcPr>
          <w:p w14:paraId="42D91BB3"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1.79</w:t>
            </w:r>
          </w:p>
        </w:tc>
        <w:tc>
          <w:tcPr>
            <w:tcW w:w="829" w:type="dxa"/>
          </w:tcPr>
          <w:p w14:paraId="1E087187"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1.83</w:t>
            </w:r>
          </w:p>
        </w:tc>
        <w:tc>
          <w:tcPr>
            <w:tcW w:w="829" w:type="dxa"/>
          </w:tcPr>
          <w:p w14:paraId="44F8172B"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1.96</w:t>
            </w:r>
          </w:p>
        </w:tc>
        <w:tc>
          <w:tcPr>
            <w:tcW w:w="829" w:type="dxa"/>
          </w:tcPr>
          <w:p w14:paraId="7C9D9F43"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2.03</w:t>
            </w:r>
          </w:p>
        </w:tc>
        <w:tc>
          <w:tcPr>
            <w:tcW w:w="898" w:type="dxa"/>
          </w:tcPr>
          <w:p w14:paraId="45F3DAF4"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2.08</w:t>
            </w:r>
          </w:p>
        </w:tc>
      </w:tr>
    </w:tbl>
    <w:p w14:paraId="6DF7582E" w14:textId="77777777" w:rsidR="00250878" w:rsidRPr="00F75FAF" w:rsidRDefault="00250878" w:rsidP="008B060C">
      <w:pPr>
        <w:widowControl w:val="0"/>
        <w:autoSpaceDE w:val="0"/>
        <w:autoSpaceDN w:val="0"/>
        <w:adjustRightInd w:val="0"/>
        <w:rPr>
          <w:rFonts w:ascii="Arial" w:hAnsi="Arial" w:cs="Arial"/>
        </w:rPr>
      </w:pPr>
    </w:p>
    <w:p w14:paraId="44FEBF64"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Membership numbers have enjoyed a steady climb from 1.68 million covered lives in 2005 to 2.08 million in 2014 (the climb continuing even through the early recession years).</w:t>
      </w:r>
    </w:p>
    <w:p w14:paraId="7C0141B5"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This must be put into the perspective, however, of a working population of approaching 30 million. Even taking into account the fact that many employers self-insure, this is disappointingly low penetration.</w:t>
      </w:r>
    </w:p>
    <w:p w14:paraId="5742A98C"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This table sets out the numbers of subscribers (covered employees) in company-paid insured Group Private Medical Insurance Schemes</w:t>
      </w:r>
      <w:r w:rsidRPr="00F75FAF">
        <w:rPr>
          <w:rStyle w:val="FootnoteReference"/>
          <w:rFonts w:ascii="Arial" w:hAnsi="Arial" w:cs="Arial"/>
        </w:rPr>
        <w:footnoteReference w:id="24"/>
      </w:r>
      <w:r w:rsidRPr="00F75FAF">
        <w:rPr>
          <w:rFonts w:ascii="Arial" w:hAnsi="Arial" w:cs="Arial"/>
        </w:rPr>
        <w:t>:</w:t>
      </w:r>
    </w:p>
    <w:p w14:paraId="336F562C" w14:textId="77777777" w:rsidR="00250878" w:rsidRPr="00F75FAF" w:rsidRDefault="00250878" w:rsidP="008B060C">
      <w:pPr>
        <w:jc w:val="both"/>
        <w:rPr>
          <w:rFonts w:ascii="Arial" w:hAnsi="Arial" w:cs="Arial"/>
          <w:b/>
          <w:i/>
        </w:rPr>
      </w:pPr>
      <w:r w:rsidRPr="00F75FAF">
        <w:rPr>
          <w:rFonts w:ascii="Arial" w:hAnsi="Arial" w:cs="Arial"/>
          <w:b/>
          <w:i/>
        </w:rPr>
        <w:t>Number of Company Paid PMI Subscribers (Millions)</w:t>
      </w:r>
    </w:p>
    <w:p w14:paraId="5149A88E" w14:textId="77777777" w:rsidR="00250878" w:rsidRPr="00F75FAF" w:rsidRDefault="00250878" w:rsidP="003A05F7">
      <w:pPr>
        <w:rPr>
          <w:rFonts w:ascii="Arial" w:hAnsi="Arial" w:cs="Arial"/>
        </w:rPr>
      </w:pPr>
    </w:p>
    <w:tbl>
      <w:tblPr>
        <w:tblStyle w:val="GridTable1Light-Accent21"/>
        <w:tblW w:w="0" w:type="auto"/>
        <w:tblLook w:val="00A0" w:firstRow="1" w:lastRow="0" w:firstColumn="1" w:lastColumn="0" w:noHBand="0" w:noVBand="0"/>
      </w:tblPr>
      <w:tblGrid>
        <w:gridCol w:w="1216"/>
        <w:gridCol w:w="1216"/>
        <w:gridCol w:w="1216"/>
        <w:gridCol w:w="1217"/>
        <w:gridCol w:w="1217"/>
        <w:gridCol w:w="1217"/>
        <w:gridCol w:w="1217"/>
      </w:tblGrid>
      <w:tr w:rsidR="00250878" w:rsidRPr="00DD55F3" w14:paraId="2BE44D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Pr>
          <w:p w14:paraId="11D42FDF" w14:textId="77777777" w:rsidR="00250878" w:rsidRPr="00AA508E" w:rsidRDefault="00250878" w:rsidP="003A05F7">
            <w:pPr>
              <w:rPr>
                <w:rFonts w:ascii="Arial" w:hAnsi="Arial" w:cs="Arial"/>
                <w:sz w:val="22"/>
              </w:rPr>
            </w:pPr>
            <w:r w:rsidRPr="00AA508E">
              <w:rPr>
                <w:rFonts w:ascii="Arial" w:hAnsi="Arial" w:cs="Arial"/>
                <w:bCs w:val="0"/>
                <w:sz w:val="22"/>
              </w:rPr>
              <w:t>2001</w:t>
            </w:r>
          </w:p>
        </w:tc>
        <w:tc>
          <w:tcPr>
            <w:tcW w:w="1216" w:type="dxa"/>
          </w:tcPr>
          <w:p w14:paraId="143D4127"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2002</w:t>
            </w:r>
          </w:p>
        </w:tc>
        <w:tc>
          <w:tcPr>
            <w:tcW w:w="1216" w:type="dxa"/>
          </w:tcPr>
          <w:p w14:paraId="0CF91F0E"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2003</w:t>
            </w:r>
          </w:p>
        </w:tc>
        <w:tc>
          <w:tcPr>
            <w:tcW w:w="1217" w:type="dxa"/>
          </w:tcPr>
          <w:p w14:paraId="4C29242B"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2004</w:t>
            </w:r>
          </w:p>
        </w:tc>
        <w:tc>
          <w:tcPr>
            <w:tcW w:w="1217" w:type="dxa"/>
          </w:tcPr>
          <w:p w14:paraId="615D556B"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2005</w:t>
            </w:r>
          </w:p>
        </w:tc>
        <w:tc>
          <w:tcPr>
            <w:tcW w:w="1217" w:type="dxa"/>
          </w:tcPr>
          <w:p w14:paraId="54A2D4DE"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2006</w:t>
            </w:r>
          </w:p>
        </w:tc>
        <w:tc>
          <w:tcPr>
            <w:tcW w:w="1217" w:type="dxa"/>
          </w:tcPr>
          <w:p w14:paraId="05CD312D"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2007</w:t>
            </w:r>
          </w:p>
        </w:tc>
      </w:tr>
      <w:tr w:rsidR="00250878" w:rsidRPr="00DD55F3" w14:paraId="60705AC8" w14:textId="77777777">
        <w:tc>
          <w:tcPr>
            <w:cnfStyle w:val="001000000000" w:firstRow="0" w:lastRow="0" w:firstColumn="1" w:lastColumn="0" w:oddVBand="0" w:evenVBand="0" w:oddHBand="0" w:evenHBand="0" w:firstRowFirstColumn="0" w:firstRowLastColumn="0" w:lastRowFirstColumn="0" w:lastRowLastColumn="0"/>
            <w:tcW w:w="1216" w:type="dxa"/>
          </w:tcPr>
          <w:p w14:paraId="7086FC96" w14:textId="77777777" w:rsidR="00250878" w:rsidRPr="00F75FAF" w:rsidRDefault="00250878" w:rsidP="003A05F7">
            <w:pPr>
              <w:rPr>
                <w:rFonts w:ascii="Arial" w:hAnsi="Arial" w:cs="Arial"/>
                <w:sz w:val="22"/>
              </w:rPr>
            </w:pPr>
            <w:r w:rsidRPr="00F75FAF">
              <w:rPr>
                <w:rFonts w:ascii="Arial" w:hAnsi="Arial" w:cs="Arial"/>
                <w:b w:val="0"/>
                <w:bCs w:val="0"/>
                <w:sz w:val="22"/>
              </w:rPr>
              <w:t>2.84</w:t>
            </w:r>
          </w:p>
        </w:tc>
        <w:tc>
          <w:tcPr>
            <w:tcW w:w="1216" w:type="dxa"/>
          </w:tcPr>
          <w:p w14:paraId="0594F7CA"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2.96</w:t>
            </w:r>
          </w:p>
        </w:tc>
        <w:tc>
          <w:tcPr>
            <w:tcW w:w="1216" w:type="dxa"/>
          </w:tcPr>
          <w:p w14:paraId="3EF2A612"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2.97</w:t>
            </w:r>
          </w:p>
        </w:tc>
        <w:tc>
          <w:tcPr>
            <w:tcW w:w="1217" w:type="dxa"/>
          </w:tcPr>
          <w:p w14:paraId="7DD9E863"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2.99</w:t>
            </w:r>
          </w:p>
        </w:tc>
        <w:tc>
          <w:tcPr>
            <w:tcW w:w="1217" w:type="dxa"/>
          </w:tcPr>
          <w:p w14:paraId="2BB514BA"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3.00</w:t>
            </w:r>
          </w:p>
        </w:tc>
        <w:tc>
          <w:tcPr>
            <w:tcW w:w="1217" w:type="dxa"/>
          </w:tcPr>
          <w:p w14:paraId="5CE8F9A9"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3.01</w:t>
            </w:r>
          </w:p>
        </w:tc>
        <w:tc>
          <w:tcPr>
            <w:tcW w:w="1217" w:type="dxa"/>
          </w:tcPr>
          <w:p w14:paraId="70BEBD48"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3.19</w:t>
            </w:r>
          </w:p>
        </w:tc>
      </w:tr>
    </w:tbl>
    <w:p w14:paraId="51578C96" w14:textId="77777777" w:rsidR="00250878" w:rsidRPr="00F75FAF" w:rsidRDefault="00250878" w:rsidP="003A05F7">
      <w:pPr>
        <w:rPr>
          <w:rFonts w:ascii="Arial" w:hAnsi="Arial" w:cs="Arial"/>
        </w:rPr>
      </w:pPr>
    </w:p>
    <w:tbl>
      <w:tblPr>
        <w:tblStyle w:val="GridTable1Light-Accent21"/>
        <w:tblW w:w="0" w:type="auto"/>
        <w:tblLook w:val="00A0" w:firstRow="1" w:lastRow="0" w:firstColumn="1" w:lastColumn="0" w:noHBand="0" w:noVBand="0"/>
      </w:tblPr>
      <w:tblGrid>
        <w:gridCol w:w="1394"/>
        <w:gridCol w:w="1393"/>
        <w:gridCol w:w="1393"/>
        <w:gridCol w:w="1393"/>
        <w:gridCol w:w="1549"/>
        <w:gridCol w:w="1394"/>
      </w:tblGrid>
      <w:tr w:rsidR="00250878" w:rsidRPr="00DD55F3" w14:paraId="491E30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26B93FD8" w14:textId="77777777" w:rsidR="00250878" w:rsidRPr="00AA508E" w:rsidRDefault="00250878" w:rsidP="003A05F7">
            <w:pPr>
              <w:rPr>
                <w:rFonts w:ascii="Arial" w:hAnsi="Arial" w:cs="Arial"/>
                <w:sz w:val="22"/>
              </w:rPr>
            </w:pPr>
            <w:r w:rsidRPr="00AA508E">
              <w:rPr>
                <w:rFonts w:ascii="Arial" w:hAnsi="Arial" w:cs="Arial"/>
                <w:bCs w:val="0"/>
                <w:sz w:val="22"/>
              </w:rPr>
              <w:t>2008</w:t>
            </w:r>
          </w:p>
        </w:tc>
        <w:tc>
          <w:tcPr>
            <w:tcW w:w="1419" w:type="dxa"/>
          </w:tcPr>
          <w:p w14:paraId="2BD303C8"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2009</w:t>
            </w:r>
          </w:p>
        </w:tc>
        <w:tc>
          <w:tcPr>
            <w:tcW w:w="1419" w:type="dxa"/>
          </w:tcPr>
          <w:p w14:paraId="5944DFFA"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2010</w:t>
            </w:r>
          </w:p>
        </w:tc>
        <w:tc>
          <w:tcPr>
            <w:tcW w:w="1419" w:type="dxa"/>
          </w:tcPr>
          <w:p w14:paraId="42516F3C"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2011</w:t>
            </w:r>
          </w:p>
        </w:tc>
        <w:tc>
          <w:tcPr>
            <w:tcW w:w="1420" w:type="dxa"/>
          </w:tcPr>
          <w:p w14:paraId="49251C79"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2012</w:t>
            </w:r>
          </w:p>
        </w:tc>
        <w:tc>
          <w:tcPr>
            <w:tcW w:w="1420" w:type="dxa"/>
          </w:tcPr>
          <w:p w14:paraId="2FC23955" w14:textId="77777777" w:rsidR="00250878" w:rsidRPr="00F75FAF" w:rsidRDefault="00250878" w:rsidP="003A05F7">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2013</w:t>
            </w:r>
          </w:p>
        </w:tc>
      </w:tr>
      <w:tr w:rsidR="00250878" w:rsidRPr="00DD55F3" w14:paraId="178FF86A" w14:textId="77777777">
        <w:tc>
          <w:tcPr>
            <w:cnfStyle w:val="001000000000" w:firstRow="0" w:lastRow="0" w:firstColumn="1" w:lastColumn="0" w:oddVBand="0" w:evenVBand="0" w:oddHBand="0" w:evenHBand="0" w:firstRowFirstColumn="0" w:firstRowLastColumn="0" w:lastRowFirstColumn="0" w:lastRowLastColumn="0"/>
            <w:tcW w:w="1419" w:type="dxa"/>
          </w:tcPr>
          <w:p w14:paraId="26383276" w14:textId="77777777" w:rsidR="00250878" w:rsidRPr="00F75FAF" w:rsidRDefault="00250878" w:rsidP="003A05F7">
            <w:pPr>
              <w:rPr>
                <w:rFonts w:ascii="Arial" w:hAnsi="Arial" w:cs="Arial"/>
                <w:sz w:val="22"/>
              </w:rPr>
            </w:pPr>
            <w:r w:rsidRPr="00F75FAF">
              <w:rPr>
                <w:rFonts w:ascii="Arial" w:hAnsi="Arial" w:cs="Arial"/>
                <w:b w:val="0"/>
                <w:bCs w:val="0"/>
                <w:sz w:val="22"/>
              </w:rPr>
              <w:t>3.19</w:t>
            </w:r>
          </w:p>
        </w:tc>
        <w:tc>
          <w:tcPr>
            <w:tcW w:w="1419" w:type="dxa"/>
          </w:tcPr>
          <w:p w14:paraId="54F4B208"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3.04</w:t>
            </w:r>
          </w:p>
        </w:tc>
        <w:tc>
          <w:tcPr>
            <w:tcW w:w="1419" w:type="dxa"/>
          </w:tcPr>
          <w:p w14:paraId="4A5EBC97"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2.94</w:t>
            </w:r>
          </w:p>
        </w:tc>
        <w:tc>
          <w:tcPr>
            <w:tcW w:w="1419" w:type="dxa"/>
          </w:tcPr>
          <w:p w14:paraId="2F75C4F9"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2.98</w:t>
            </w:r>
          </w:p>
        </w:tc>
        <w:tc>
          <w:tcPr>
            <w:tcW w:w="1420" w:type="dxa"/>
          </w:tcPr>
          <w:p w14:paraId="54124F4F" w14:textId="14468B01" w:rsidR="00250878" w:rsidRPr="00F75FAF" w:rsidRDefault="006E4AF1"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3.00 (guesstimate)</w:t>
            </w:r>
          </w:p>
        </w:tc>
        <w:tc>
          <w:tcPr>
            <w:tcW w:w="1420" w:type="dxa"/>
          </w:tcPr>
          <w:p w14:paraId="5D797525" w14:textId="77777777" w:rsidR="00250878" w:rsidRPr="00F75FAF" w:rsidRDefault="00250878" w:rsidP="003A05F7">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3.04</w:t>
            </w:r>
          </w:p>
        </w:tc>
      </w:tr>
    </w:tbl>
    <w:p w14:paraId="0939CA89" w14:textId="77777777" w:rsidR="00250878" w:rsidRPr="00F75FAF" w:rsidRDefault="00250878" w:rsidP="003A05F7">
      <w:pPr>
        <w:rPr>
          <w:rFonts w:ascii="Arial" w:hAnsi="Arial" w:cs="Arial"/>
        </w:rPr>
      </w:pPr>
    </w:p>
    <w:p w14:paraId="091B9CF3"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Here there was a modest increase up until 2009 followed by a decrease and a leveling off at around 3.04 million 2013 (about the same as 2005 and 2006). Self-insured schemes under trust probably cover about a further 400,000 staff.</w:t>
      </w:r>
    </w:p>
    <w:p w14:paraId="0360CC14"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The GIP figures are doubly disappointing because of the incredible efforts insurers have been making in expanding their offering from merely a commoditized insurance product to a valuable risk management tool.</w:t>
      </w:r>
    </w:p>
    <w:p w14:paraId="3381DEC7" w14:textId="2460850E" w:rsidR="00250878" w:rsidRPr="00F75FAF" w:rsidRDefault="00250878" w:rsidP="00CA5178">
      <w:pPr>
        <w:widowControl w:val="0"/>
        <w:autoSpaceDE w:val="0"/>
        <w:autoSpaceDN w:val="0"/>
        <w:adjustRightInd w:val="0"/>
        <w:spacing w:after="240"/>
        <w:rPr>
          <w:rFonts w:ascii="Arial" w:hAnsi="Arial" w:cs="Arial"/>
        </w:rPr>
      </w:pPr>
      <w:r w:rsidRPr="00F75FAF">
        <w:rPr>
          <w:rFonts w:ascii="Arial" w:hAnsi="Arial" w:cs="Arial"/>
        </w:rPr>
        <w:t xml:space="preserve">For example, alongside the GIP Scheme employers often also have access </w:t>
      </w:r>
      <w:proofErr w:type="gramStart"/>
      <w:r w:rsidR="00502789">
        <w:rPr>
          <w:rFonts w:ascii="Arial" w:hAnsi="Arial" w:cs="Arial"/>
        </w:rPr>
        <w:t>to:</w:t>
      </w:r>
      <w:proofErr w:type="gramEnd"/>
    </w:p>
    <w:p w14:paraId="184C4506" w14:textId="77777777" w:rsidR="00250878" w:rsidRPr="00F75FAF" w:rsidRDefault="00250878" w:rsidP="00794B4E">
      <w:pPr>
        <w:numPr>
          <w:ilvl w:val="0"/>
          <w:numId w:val="7"/>
        </w:numPr>
        <w:jc w:val="both"/>
        <w:rPr>
          <w:rFonts w:ascii="Arial" w:hAnsi="Arial" w:cs="Arial"/>
        </w:rPr>
      </w:pPr>
      <w:r w:rsidRPr="00F75FAF">
        <w:rPr>
          <w:rFonts w:ascii="Arial" w:hAnsi="Arial" w:cs="Arial"/>
        </w:rPr>
        <w:t>Employee assistance programmes</w:t>
      </w:r>
    </w:p>
    <w:p w14:paraId="4100AAA8" w14:textId="77777777" w:rsidR="00250878" w:rsidRPr="00F75FAF" w:rsidRDefault="00250878" w:rsidP="00794B4E">
      <w:pPr>
        <w:jc w:val="both"/>
        <w:rPr>
          <w:rFonts w:ascii="Arial" w:hAnsi="Arial" w:cs="Arial"/>
        </w:rPr>
      </w:pPr>
    </w:p>
    <w:p w14:paraId="519FC0B4" w14:textId="77777777" w:rsidR="00250878" w:rsidRPr="00F75FAF" w:rsidRDefault="00250878" w:rsidP="00794B4E">
      <w:pPr>
        <w:numPr>
          <w:ilvl w:val="0"/>
          <w:numId w:val="7"/>
        </w:numPr>
        <w:jc w:val="both"/>
        <w:rPr>
          <w:rFonts w:ascii="Arial" w:hAnsi="Arial" w:cs="Arial"/>
        </w:rPr>
      </w:pPr>
      <w:r w:rsidRPr="00F75FAF">
        <w:rPr>
          <w:rFonts w:ascii="Arial" w:hAnsi="Arial" w:cs="Arial"/>
        </w:rPr>
        <w:t>Absence management services</w:t>
      </w:r>
    </w:p>
    <w:p w14:paraId="78B092C7" w14:textId="77777777" w:rsidR="00250878" w:rsidRPr="00F75FAF" w:rsidRDefault="00250878" w:rsidP="00794B4E">
      <w:pPr>
        <w:jc w:val="both"/>
        <w:rPr>
          <w:rFonts w:ascii="Arial" w:hAnsi="Arial" w:cs="Arial"/>
        </w:rPr>
      </w:pPr>
    </w:p>
    <w:p w14:paraId="28FBD0E2" w14:textId="77777777" w:rsidR="00250878" w:rsidRPr="00F75FAF" w:rsidRDefault="00250878" w:rsidP="00794B4E">
      <w:pPr>
        <w:numPr>
          <w:ilvl w:val="0"/>
          <w:numId w:val="7"/>
        </w:numPr>
        <w:jc w:val="both"/>
        <w:rPr>
          <w:rFonts w:ascii="Arial" w:hAnsi="Arial" w:cs="Arial"/>
        </w:rPr>
      </w:pPr>
      <w:r w:rsidRPr="00F75FAF">
        <w:rPr>
          <w:rFonts w:ascii="Arial" w:hAnsi="Arial" w:cs="Arial"/>
        </w:rPr>
        <w:t>Limited term payment arrangements</w:t>
      </w:r>
    </w:p>
    <w:p w14:paraId="5F8939DA" w14:textId="77777777" w:rsidR="00250878" w:rsidRPr="00F75FAF" w:rsidRDefault="00250878" w:rsidP="00794B4E">
      <w:pPr>
        <w:jc w:val="both"/>
        <w:rPr>
          <w:rFonts w:ascii="Arial" w:hAnsi="Arial" w:cs="Arial"/>
        </w:rPr>
      </w:pPr>
    </w:p>
    <w:p w14:paraId="2E7D528A" w14:textId="77777777" w:rsidR="00250878" w:rsidRPr="00F75FAF" w:rsidRDefault="00250878" w:rsidP="00794B4E">
      <w:pPr>
        <w:numPr>
          <w:ilvl w:val="0"/>
          <w:numId w:val="7"/>
        </w:numPr>
        <w:jc w:val="both"/>
        <w:rPr>
          <w:rFonts w:ascii="Arial" w:hAnsi="Arial" w:cs="Arial"/>
        </w:rPr>
      </w:pPr>
      <w:r w:rsidRPr="00F75FAF">
        <w:rPr>
          <w:rFonts w:ascii="Arial" w:hAnsi="Arial" w:cs="Arial"/>
        </w:rPr>
        <w:t>Speedily arranged cognitive behavioral therapy</w:t>
      </w:r>
    </w:p>
    <w:p w14:paraId="18D432A8" w14:textId="77777777" w:rsidR="00250878" w:rsidRPr="00F75FAF" w:rsidRDefault="00250878" w:rsidP="00794B4E">
      <w:pPr>
        <w:jc w:val="both"/>
        <w:rPr>
          <w:rFonts w:ascii="Arial" w:hAnsi="Arial" w:cs="Arial"/>
        </w:rPr>
      </w:pPr>
    </w:p>
    <w:p w14:paraId="1FA80530" w14:textId="77777777" w:rsidR="00250878" w:rsidRPr="00F75FAF" w:rsidRDefault="00250878" w:rsidP="00794B4E">
      <w:pPr>
        <w:numPr>
          <w:ilvl w:val="0"/>
          <w:numId w:val="7"/>
        </w:numPr>
        <w:jc w:val="both"/>
        <w:rPr>
          <w:rFonts w:ascii="Arial" w:hAnsi="Arial" w:cs="Arial"/>
        </w:rPr>
      </w:pPr>
      <w:r w:rsidRPr="00F75FAF">
        <w:rPr>
          <w:rFonts w:ascii="Arial" w:hAnsi="Arial" w:cs="Arial"/>
        </w:rPr>
        <w:t>Financial incentives to encourage early intervention</w:t>
      </w:r>
    </w:p>
    <w:p w14:paraId="0BDBD816" w14:textId="77777777" w:rsidR="00250878" w:rsidRPr="00F75FAF" w:rsidRDefault="00250878" w:rsidP="00794B4E">
      <w:pPr>
        <w:jc w:val="both"/>
        <w:rPr>
          <w:rFonts w:ascii="Arial" w:hAnsi="Arial" w:cs="Arial"/>
        </w:rPr>
      </w:pPr>
    </w:p>
    <w:p w14:paraId="0BFD68B6" w14:textId="77777777" w:rsidR="00250878" w:rsidRPr="00F75FAF" w:rsidRDefault="00250878" w:rsidP="00794B4E">
      <w:pPr>
        <w:numPr>
          <w:ilvl w:val="0"/>
          <w:numId w:val="7"/>
        </w:numPr>
        <w:jc w:val="both"/>
        <w:rPr>
          <w:rFonts w:ascii="Arial" w:hAnsi="Arial" w:cs="Arial"/>
        </w:rPr>
      </w:pPr>
      <w:r w:rsidRPr="00F75FAF">
        <w:rPr>
          <w:rFonts w:ascii="Arial" w:hAnsi="Arial" w:cs="Arial"/>
        </w:rPr>
        <w:t>Direct payment of benefits to claimants</w:t>
      </w:r>
    </w:p>
    <w:p w14:paraId="13A6C1BF" w14:textId="77777777" w:rsidR="00250878" w:rsidRPr="00F75FAF" w:rsidRDefault="00250878" w:rsidP="00794B4E">
      <w:pPr>
        <w:jc w:val="both"/>
        <w:rPr>
          <w:rFonts w:ascii="Arial" w:hAnsi="Arial" w:cs="Arial"/>
        </w:rPr>
      </w:pPr>
    </w:p>
    <w:p w14:paraId="7F6375A1" w14:textId="502BB51E" w:rsidR="00250878" w:rsidRPr="00F75FAF" w:rsidRDefault="00250878" w:rsidP="00794B4E">
      <w:pPr>
        <w:numPr>
          <w:ilvl w:val="0"/>
          <w:numId w:val="7"/>
        </w:numPr>
        <w:jc w:val="both"/>
        <w:rPr>
          <w:rFonts w:ascii="Arial" w:hAnsi="Arial" w:cs="Arial"/>
        </w:rPr>
      </w:pPr>
      <w:r w:rsidRPr="00F75FAF">
        <w:rPr>
          <w:rFonts w:ascii="Arial" w:hAnsi="Arial" w:cs="Arial"/>
        </w:rPr>
        <w:t>Support pack</w:t>
      </w:r>
      <w:r w:rsidR="006E3743">
        <w:rPr>
          <w:rFonts w:ascii="Arial" w:hAnsi="Arial" w:cs="Arial"/>
        </w:rPr>
        <w:t>ages and help lines for employee</w:t>
      </w:r>
      <w:r w:rsidRPr="00F75FAF">
        <w:rPr>
          <w:rFonts w:ascii="Arial" w:hAnsi="Arial" w:cs="Arial"/>
        </w:rPr>
        <w:t>s</w:t>
      </w:r>
    </w:p>
    <w:p w14:paraId="25A49900" w14:textId="77777777" w:rsidR="00250878" w:rsidRPr="00F75FAF" w:rsidRDefault="00250878" w:rsidP="00794B4E">
      <w:pPr>
        <w:jc w:val="both"/>
        <w:rPr>
          <w:rFonts w:ascii="Arial" w:hAnsi="Arial" w:cs="Arial"/>
        </w:rPr>
      </w:pPr>
    </w:p>
    <w:p w14:paraId="368E640D" w14:textId="77777777" w:rsidR="00250878" w:rsidRPr="00F75FAF" w:rsidRDefault="00250878" w:rsidP="00794B4E">
      <w:pPr>
        <w:numPr>
          <w:ilvl w:val="0"/>
          <w:numId w:val="7"/>
        </w:numPr>
        <w:jc w:val="both"/>
        <w:rPr>
          <w:rFonts w:ascii="Arial" w:hAnsi="Arial" w:cs="Arial"/>
        </w:rPr>
      </w:pPr>
      <w:r w:rsidRPr="00F75FAF">
        <w:rPr>
          <w:rFonts w:ascii="Arial" w:hAnsi="Arial" w:cs="Arial"/>
        </w:rPr>
        <w:lastRenderedPageBreak/>
        <w:t>Absence management assessment services</w:t>
      </w:r>
    </w:p>
    <w:p w14:paraId="0FA11267" w14:textId="77777777" w:rsidR="00250878" w:rsidRPr="00F75FAF" w:rsidRDefault="00250878" w:rsidP="00794B4E">
      <w:pPr>
        <w:jc w:val="both"/>
        <w:rPr>
          <w:rFonts w:ascii="Arial" w:hAnsi="Arial" w:cs="Arial"/>
        </w:rPr>
      </w:pPr>
    </w:p>
    <w:p w14:paraId="314BBE6E" w14:textId="77777777" w:rsidR="00250878" w:rsidRPr="00F75FAF" w:rsidRDefault="00250878" w:rsidP="00794B4E">
      <w:pPr>
        <w:numPr>
          <w:ilvl w:val="0"/>
          <w:numId w:val="7"/>
        </w:numPr>
        <w:jc w:val="both"/>
        <w:rPr>
          <w:rFonts w:ascii="Arial" w:hAnsi="Arial" w:cs="Arial"/>
        </w:rPr>
      </w:pPr>
      <w:r w:rsidRPr="00F75FAF">
        <w:rPr>
          <w:rFonts w:ascii="Arial" w:hAnsi="Arial" w:cs="Arial"/>
        </w:rPr>
        <w:t>More streamlined underwriting procedures</w:t>
      </w:r>
    </w:p>
    <w:p w14:paraId="2D1C2817" w14:textId="77777777" w:rsidR="00250878" w:rsidRPr="00F75FAF" w:rsidRDefault="00250878" w:rsidP="00794B4E">
      <w:pPr>
        <w:jc w:val="both"/>
        <w:rPr>
          <w:rFonts w:ascii="Arial" w:hAnsi="Arial" w:cs="Arial"/>
        </w:rPr>
      </w:pPr>
      <w:r w:rsidRPr="00F75FAF">
        <w:rPr>
          <w:rFonts w:ascii="Arial" w:hAnsi="Arial" w:cs="Arial"/>
        </w:rPr>
        <w:t>Often these are available at no extra cost and can be very successfully integrated with an employer’s existing health strategies such as occupation</w:t>
      </w:r>
      <w:r w:rsidR="00785392">
        <w:rPr>
          <w:rFonts w:ascii="Arial" w:hAnsi="Arial" w:cs="Arial"/>
        </w:rPr>
        <w:t>al health</w:t>
      </w:r>
      <w:r w:rsidRPr="00F75FAF">
        <w:rPr>
          <w:rFonts w:ascii="Arial" w:hAnsi="Arial" w:cs="Arial"/>
        </w:rPr>
        <w:t>.</w:t>
      </w:r>
    </w:p>
    <w:p w14:paraId="2C3AD386" w14:textId="77777777" w:rsidR="00250878" w:rsidRPr="00F75FAF" w:rsidRDefault="00250878" w:rsidP="00794B4E">
      <w:pPr>
        <w:jc w:val="both"/>
        <w:rPr>
          <w:rFonts w:ascii="Arial" w:hAnsi="Arial" w:cs="Arial"/>
        </w:rPr>
      </w:pPr>
    </w:p>
    <w:p w14:paraId="67D174FF" w14:textId="77777777" w:rsidR="00250878" w:rsidRPr="00F75FAF" w:rsidRDefault="00250878" w:rsidP="00794B4E">
      <w:pPr>
        <w:jc w:val="both"/>
        <w:rPr>
          <w:rFonts w:ascii="Arial" w:hAnsi="Arial" w:cs="Arial"/>
        </w:rPr>
      </w:pPr>
      <w:r w:rsidRPr="00F75FAF">
        <w:rPr>
          <w:rFonts w:ascii="Arial" w:hAnsi="Arial" w:cs="Arial"/>
        </w:rPr>
        <w:t>Insurers have also moved to recognise the need and value of limited payment policies as well as the need to encourage the inclusion of Income Protection as part of the flexible benefits menu.</w:t>
      </w:r>
    </w:p>
    <w:p w14:paraId="6982591D" w14:textId="77777777" w:rsidR="00250878" w:rsidRPr="00F75FAF" w:rsidRDefault="00250878" w:rsidP="00794B4E">
      <w:pPr>
        <w:ind w:left="720"/>
        <w:jc w:val="both"/>
        <w:rPr>
          <w:rFonts w:ascii="Arial" w:hAnsi="Arial" w:cs="Arial"/>
        </w:rPr>
      </w:pPr>
    </w:p>
    <w:p w14:paraId="48A19EC0" w14:textId="77777777" w:rsidR="00250878" w:rsidRPr="00E514E0" w:rsidRDefault="00BB589F" w:rsidP="00CA5178">
      <w:pPr>
        <w:widowControl w:val="0"/>
        <w:autoSpaceDE w:val="0"/>
        <w:autoSpaceDN w:val="0"/>
        <w:adjustRightInd w:val="0"/>
        <w:spacing w:after="240"/>
        <w:rPr>
          <w:rFonts w:ascii="Arial" w:hAnsi="Arial" w:cs="Arial"/>
          <w:b/>
          <w:sz w:val="28"/>
        </w:rPr>
      </w:pPr>
      <w:r>
        <w:rPr>
          <w:rFonts w:ascii="Arial" w:hAnsi="Arial" w:cs="Arial"/>
          <w:b/>
          <w:sz w:val="28"/>
        </w:rPr>
        <w:t xml:space="preserve">8.1 </w:t>
      </w:r>
      <w:r w:rsidR="00250878" w:rsidRPr="00E514E0">
        <w:rPr>
          <w:rFonts w:ascii="Arial" w:hAnsi="Arial" w:cs="Arial"/>
          <w:b/>
          <w:sz w:val="28"/>
        </w:rPr>
        <w:t>Health policies generally pre- and post-recession</w:t>
      </w:r>
    </w:p>
    <w:p w14:paraId="7B541732" w14:textId="77777777" w:rsidR="00250878" w:rsidRPr="00F75FAF" w:rsidRDefault="00250878" w:rsidP="008B060C">
      <w:pPr>
        <w:widowControl w:val="0"/>
        <w:autoSpaceDE w:val="0"/>
        <w:autoSpaceDN w:val="0"/>
        <w:adjustRightInd w:val="0"/>
        <w:spacing w:after="240"/>
        <w:jc w:val="both"/>
        <w:rPr>
          <w:rFonts w:ascii="Arial" w:hAnsi="Arial" w:cs="Arial"/>
        </w:rPr>
      </w:pPr>
      <w:r w:rsidRPr="00F75FAF">
        <w:rPr>
          <w:rFonts w:ascii="Arial" w:hAnsi="Arial" w:cs="Arial"/>
        </w:rPr>
        <w:t>There is no doubt that the recession had some effect on health policies across the board, as the following table illustrates</w:t>
      </w:r>
      <w:r w:rsidRPr="00F75FAF">
        <w:rPr>
          <w:rStyle w:val="FootnoteReference"/>
          <w:rFonts w:ascii="Arial" w:hAnsi="Arial" w:cs="Arial"/>
        </w:rPr>
        <w:footnoteReference w:id="25"/>
      </w:r>
      <w:r w:rsidRPr="00F75FAF">
        <w:rPr>
          <w:rFonts w:ascii="Arial" w:hAnsi="Arial" w:cs="Arial"/>
        </w:rPr>
        <w:t>:</w:t>
      </w:r>
    </w:p>
    <w:p w14:paraId="640AC522" w14:textId="77777777" w:rsidR="00250878" w:rsidRPr="00F75FAF" w:rsidRDefault="00250878" w:rsidP="008B060C">
      <w:pPr>
        <w:jc w:val="both"/>
        <w:rPr>
          <w:rFonts w:ascii="Arial" w:hAnsi="Arial" w:cs="Arial"/>
        </w:rPr>
      </w:pPr>
      <w:r w:rsidRPr="00F75FAF">
        <w:rPr>
          <w:rFonts w:ascii="Arial" w:hAnsi="Arial" w:cs="Arial"/>
        </w:rPr>
        <w:t>Number of subscribers to health cover products at 1 January 2009 and 2014</w:t>
      </w:r>
    </w:p>
    <w:p w14:paraId="0C399FD1" w14:textId="77777777" w:rsidR="00250878" w:rsidRPr="00F75FAF" w:rsidRDefault="00250878" w:rsidP="00695B2B">
      <w:pPr>
        <w:rPr>
          <w:rFonts w:ascii="Arial" w:hAnsi="Arial" w:cs="Arial"/>
        </w:rPr>
      </w:pPr>
    </w:p>
    <w:tbl>
      <w:tblPr>
        <w:tblStyle w:val="GridTable1Light-Accent21"/>
        <w:tblW w:w="0" w:type="auto"/>
        <w:tblLook w:val="00A0" w:firstRow="1" w:lastRow="0" w:firstColumn="1" w:lastColumn="0" w:noHBand="0" w:noVBand="0"/>
      </w:tblPr>
      <w:tblGrid>
        <w:gridCol w:w="2838"/>
        <w:gridCol w:w="2839"/>
        <w:gridCol w:w="2839"/>
      </w:tblGrid>
      <w:tr w:rsidR="00250878" w:rsidRPr="00DD55F3" w14:paraId="39B27FA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F2F2F2"/>
          </w:tcPr>
          <w:p w14:paraId="19B4CF13" w14:textId="77777777" w:rsidR="00250878" w:rsidRPr="00F75FAF" w:rsidRDefault="00250878" w:rsidP="00695B2B">
            <w:pPr>
              <w:rPr>
                <w:rFonts w:ascii="Arial" w:hAnsi="Arial" w:cs="Arial"/>
                <w:sz w:val="22"/>
              </w:rPr>
            </w:pPr>
          </w:p>
        </w:tc>
        <w:tc>
          <w:tcPr>
            <w:tcW w:w="2839" w:type="dxa"/>
          </w:tcPr>
          <w:p w14:paraId="4878BD94" w14:textId="77777777" w:rsidR="00250878" w:rsidRPr="00F75FAF" w:rsidRDefault="00250878" w:rsidP="00695B2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 xml:space="preserve">Subscribers at 1 January 2009 (Thousands) </w:t>
            </w:r>
          </w:p>
        </w:tc>
        <w:tc>
          <w:tcPr>
            <w:tcW w:w="2839" w:type="dxa"/>
          </w:tcPr>
          <w:p w14:paraId="5B0DC103" w14:textId="77777777" w:rsidR="00250878" w:rsidRPr="00F75FAF" w:rsidRDefault="00250878" w:rsidP="00695B2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Subscribers at 1 January 2014 (Thousands)</w:t>
            </w:r>
          </w:p>
        </w:tc>
      </w:tr>
      <w:tr w:rsidR="00250878" w:rsidRPr="00DD55F3" w14:paraId="0A8F852A" w14:textId="77777777">
        <w:tc>
          <w:tcPr>
            <w:cnfStyle w:val="001000000000" w:firstRow="0" w:lastRow="0" w:firstColumn="1" w:lastColumn="0" w:oddVBand="0" w:evenVBand="0" w:oddHBand="0" w:evenHBand="0" w:firstRowFirstColumn="0" w:firstRowLastColumn="0" w:lastRowFirstColumn="0" w:lastRowLastColumn="0"/>
            <w:tcW w:w="2838" w:type="dxa"/>
          </w:tcPr>
          <w:p w14:paraId="0FD83BA2" w14:textId="6D0B8905" w:rsidR="00250878" w:rsidRPr="00F75FAF" w:rsidRDefault="00250878" w:rsidP="00695B2B">
            <w:pPr>
              <w:rPr>
                <w:rFonts w:ascii="Arial" w:hAnsi="Arial" w:cs="Arial"/>
                <w:sz w:val="22"/>
              </w:rPr>
            </w:pPr>
            <w:r w:rsidRPr="00F75FAF">
              <w:rPr>
                <w:rFonts w:ascii="Arial" w:hAnsi="Arial" w:cs="Arial"/>
                <w:b w:val="0"/>
                <w:bCs w:val="0"/>
                <w:sz w:val="22"/>
              </w:rPr>
              <w:t>Private Medical Cover</w:t>
            </w:r>
            <w:r w:rsidR="006E4AF1">
              <w:rPr>
                <w:rFonts w:ascii="Arial" w:hAnsi="Arial" w:cs="Arial"/>
                <w:b w:val="0"/>
                <w:bCs w:val="0"/>
                <w:sz w:val="22"/>
              </w:rPr>
              <w:t>**</w:t>
            </w:r>
          </w:p>
        </w:tc>
        <w:tc>
          <w:tcPr>
            <w:tcW w:w="2839" w:type="dxa"/>
          </w:tcPr>
          <w:p w14:paraId="75746308" w14:textId="77777777" w:rsidR="00250878" w:rsidRPr="00F75FAF"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4,324</w:t>
            </w:r>
          </w:p>
        </w:tc>
        <w:tc>
          <w:tcPr>
            <w:tcW w:w="2839" w:type="dxa"/>
          </w:tcPr>
          <w:p w14:paraId="0D08180E" w14:textId="77777777" w:rsidR="00250878" w:rsidRPr="00F75FAF"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3,960</w:t>
            </w:r>
          </w:p>
        </w:tc>
      </w:tr>
      <w:tr w:rsidR="00250878" w:rsidRPr="00DD55F3" w14:paraId="0CDC3337" w14:textId="77777777">
        <w:tc>
          <w:tcPr>
            <w:cnfStyle w:val="001000000000" w:firstRow="0" w:lastRow="0" w:firstColumn="1" w:lastColumn="0" w:oddVBand="0" w:evenVBand="0" w:oddHBand="0" w:evenHBand="0" w:firstRowFirstColumn="0" w:firstRowLastColumn="0" w:lastRowFirstColumn="0" w:lastRowLastColumn="0"/>
            <w:tcW w:w="2838" w:type="dxa"/>
          </w:tcPr>
          <w:p w14:paraId="3EF458F3" w14:textId="77777777" w:rsidR="00250878" w:rsidRPr="00F75FAF" w:rsidRDefault="00250878" w:rsidP="00695B2B">
            <w:pPr>
              <w:rPr>
                <w:rFonts w:ascii="Arial" w:hAnsi="Arial" w:cs="Arial"/>
                <w:sz w:val="22"/>
              </w:rPr>
            </w:pPr>
            <w:r w:rsidRPr="00F75FAF">
              <w:rPr>
                <w:rFonts w:ascii="Arial" w:hAnsi="Arial" w:cs="Arial"/>
                <w:b w:val="0"/>
                <w:bCs w:val="0"/>
                <w:sz w:val="22"/>
              </w:rPr>
              <w:t>Health Cash Plans*</w:t>
            </w:r>
          </w:p>
        </w:tc>
        <w:tc>
          <w:tcPr>
            <w:tcW w:w="2839" w:type="dxa"/>
          </w:tcPr>
          <w:p w14:paraId="3F054110" w14:textId="77777777" w:rsidR="00250878" w:rsidRPr="00F75FAF"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2,873</w:t>
            </w:r>
          </w:p>
        </w:tc>
        <w:tc>
          <w:tcPr>
            <w:tcW w:w="2839" w:type="dxa"/>
          </w:tcPr>
          <w:p w14:paraId="479DD409" w14:textId="77777777" w:rsidR="00250878" w:rsidRPr="00F75FAF"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2,615</w:t>
            </w:r>
          </w:p>
        </w:tc>
      </w:tr>
      <w:tr w:rsidR="00250878" w:rsidRPr="00DD55F3" w14:paraId="7320B13D" w14:textId="77777777">
        <w:tc>
          <w:tcPr>
            <w:cnfStyle w:val="001000000000" w:firstRow="0" w:lastRow="0" w:firstColumn="1" w:lastColumn="0" w:oddVBand="0" w:evenVBand="0" w:oddHBand="0" w:evenHBand="0" w:firstRowFirstColumn="0" w:firstRowLastColumn="0" w:lastRowFirstColumn="0" w:lastRowLastColumn="0"/>
            <w:tcW w:w="2838" w:type="dxa"/>
          </w:tcPr>
          <w:p w14:paraId="76A58591" w14:textId="77777777" w:rsidR="00250878" w:rsidRPr="00F75FAF" w:rsidRDefault="00250878" w:rsidP="00695B2B">
            <w:pPr>
              <w:rPr>
                <w:rFonts w:ascii="Arial" w:hAnsi="Arial" w:cs="Arial"/>
                <w:sz w:val="22"/>
              </w:rPr>
            </w:pPr>
            <w:r w:rsidRPr="00F75FAF">
              <w:rPr>
                <w:rFonts w:ascii="Arial" w:hAnsi="Arial" w:cs="Arial"/>
                <w:b w:val="0"/>
                <w:bCs w:val="0"/>
                <w:sz w:val="22"/>
              </w:rPr>
              <w:t>Dental Benefit Plans</w:t>
            </w:r>
          </w:p>
        </w:tc>
        <w:tc>
          <w:tcPr>
            <w:tcW w:w="2839" w:type="dxa"/>
          </w:tcPr>
          <w:p w14:paraId="4701FB8B" w14:textId="77777777" w:rsidR="00250878" w:rsidRPr="00F75FAF"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3,321</w:t>
            </w:r>
          </w:p>
        </w:tc>
        <w:tc>
          <w:tcPr>
            <w:tcW w:w="2839" w:type="dxa"/>
          </w:tcPr>
          <w:p w14:paraId="321BE4AE" w14:textId="77777777" w:rsidR="00250878" w:rsidRPr="00F75FAF"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3,213</w:t>
            </w:r>
          </w:p>
        </w:tc>
      </w:tr>
      <w:tr w:rsidR="00250878" w:rsidRPr="00DD55F3" w14:paraId="23930C59" w14:textId="77777777">
        <w:tc>
          <w:tcPr>
            <w:cnfStyle w:val="001000000000" w:firstRow="0" w:lastRow="0" w:firstColumn="1" w:lastColumn="0" w:oddVBand="0" w:evenVBand="0" w:oddHBand="0" w:evenHBand="0" w:firstRowFirstColumn="0" w:firstRowLastColumn="0" w:lastRowFirstColumn="0" w:lastRowLastColumn="0"/>
            <w:tcW w:w="2838" w:type="dxa"/>
          </w:tcPr>
          <w:p w14:paraId="483C5CAF" w14:textId="77777777" w:rsidR="00250878" w:rsidRPr="00AA508E" w:rsidRDefault="00250878" w:rsidP="00695B2B">
            <w:pPr>
              <w:rPr>
                <w:rFonts w:ascii="Arial" w:hAnsi="Arial" w:cs="Arial"/>
                <w:sz w:val="22"/>
              </w:rPr>
            </w:pPr>
            <w:r w:rsidRPr="00AA508E">
              <w:rPr>
                <w:rFonts w:ascii="Arial" w:hAnsi="Arial" w:cs="Arial"/>
                <w:bCs w:val="0"/>
                <w:sz w:val="22"/>
              </w:rPr>
              <w:t>Total All Health</w:t>
            </w:r>
          </w:p>
        </w:tc>
        <w:tc>
          <w:tcPr>
            <w:tcW w:w="2839" w:type="dxa"/>
          </w:tcPr>
          <w:p w14:paraId="4EBC723A" w14:textId="77777777" w:rsidR="00250878" w:rsidRPr="00AA508E" w:rsidRDefault="00250878" w:rsidP="00695B2B">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AA508E">
              <w:rPr>
                <w:rFonts w:ascii="Arial" w:hAnsi="Arial" w:cs="Arial"/>
                <w:b/>
                <w:sz w:val="22"/>
              </w:rPr>
              <w:t>10,518</w:t>
            </w:r>
          </w:p>
        </w:tc>
        <w:tc>
          <w:tcPr>
            <w:tcW w:w="2839" w:type="dxa"/>
          </w:tcPr>
          <w:p w14:paraId="2E76EDF1" w14:textId="24F6F1A7" w:rsidR="00250878" w:rsidRPr="00AA508E" w:rsidRDefault="00AD4E7F" w:rsidP="00695B2B">
            <w:pP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Pr>
                <w:rFonts w:ascii="Arial" w:hAnsi="Arial" w:cs="Arial"/>
                <w:b/>
                <w:sz w:val="22"/>
              </w:rPr>
              <w:t>9,</w:t>
            </w:r>
            <w:r w:rsidR="00250878" w:rsidRPr="00AA508E">
              <w:rPr>
                <w:rFonts w:ascii="Arial" w:hAnsi="Arial" w:cs="Arial"/>
                <w:b/>
                <w:sz w:val="22"/>
              </w:rPr>
              <w:t>788</w:t>
            </w:r>
          </w:p>
        </w:tc>
      </w:tr>
    </w:tbl>
    <w:p w14:paraId="5B4D64FB" w14:textId="77777777" w:rsidR="00250878" w:rsidRDefault="00250878" w:rsidP="00695B2B">
      <w:pPr>
        <w:rPr>
          <w:rFonts w:ascii="Arial" w:hAnsi="Arial" w:cs="Arial"/>
        </w:rPr>
      </w:pPr>
    </w:p>
    <w:p w14:paraId="4DFA9EB7" w14:textId="22A7C08D" w:rsidR="006E4AF1" w:rsidRPr="00F75FAF" w:rsidRDefault="006E4AF1" w:rsidP="00695B2B">
      <w:pPr>
        <w:rPr>
          <w:rFonts w:ascii="Arial" w:hAnsi="Arial" w:cs="Arial"/>
        </w:rPr>
      </w:pPr>
      <w:r>
        <w:rPr>
          <w:rFonts w:ascii="Arial" w:hAnsi="Arial" w:cs="Arial"/>
        </w:rPr>
        <w:t>**PMI subscribers plus employees covered by company paid, insured and self-insured medical expenses schemes</w:t>
      </w:r>
    </w:p>
    <w:p w14:paraId="6E947655" w14:textId="77777777" w:rsidR="006E4AF1" w:rsidRDefault="006E4AF1" w:rsidP="00695B2B">
      <w:pPr>
        <w:jc w:val="both"/>
        <w:rPr>
          <w:rFonts w:ascii="Arial" w:hAnsi="Arial" w:cs="Arial"/>
        </w:rPr>
      </w:pPr>
    </w:p>
    <w:p w14:paraId="4327E94B" w14:textId="387A7C2D" w:rsidR="00250878" w:rsidRPr="00F75FAF" w:rsidRDefault="006E4AF1" w:rsidP="00695B2B">
      <w:pPr>
        <w:jc w:val="both"/>
        <w:rPr>
          <w:rFonts w:ascii="Arial" w:hAnsi="Arial" w:cs="Arial"/>
        </w:rPr>
      </w:pPr>
      <w:r>
        <w:rPr>
          <w:rFonts w:ascii="Arial" w:hAnsi="Arial" w:cs="Arial"/>
        </w:rPr>
        <w:t>*Includes</w:t>
      </w:r>
      <w:r w:rsidR="00250878" w:rsidRPr="00F75FAF">
        <w:rPr>
          <w:rFonts w:ascii="Arial" w:hAnsi="Arial" w:cs="Arial"/>
        </w:rPr>
        <w:t xml:space="preserve"> a small amount of double counting from dental cover spending</w:t>
      </w:r>
    </w:p>
    <w:p w14:paraId="6D2DC29A" w14:textId="77777777" w:rsidR="00250878" w:rsidRPr="00F75FAF" w:rsidRDefault="00250878" w:rsidP="00695B2B">
      <w:pPr>
        <w:jc w:val="both"/>
        <w:rPr>
          <w:rFonts w:ascii="Arial" w:hAnsi="Arial" w:cs="Arial"/>
        </w:rPr>
      </w:pPr>
    </w:p>
    <w:p w14:paraId="256B7F10" w14:textId="2BEC5454" w:rsidR="00250878" w:rsidRPr="006E4AF1" w:rsidRDefault="006E4AF1" w:rsidP="00695B2B">
      <w:pPr>
        <w:widowControl w:val="0"/>
        <w:autoSpaceDE w:val="0"/>
        <w:autoSpaceDN w:val="0"/>
        <w:adjustRightInd w:val="0"/>
        <w:spacing w:after="240"/>
        <w:jc w:val="both"/>
        <w:rPr>
          <w:rFonts w:ascii="Arial" w:hAnsi="Arial" w:cs="Arial"/>
          <w:b/>
          <w:sz w:val="28"/>
        </w:rPr>
      </w:pPr>
      <w:r>
        <w:rPr>
          <w:rFonts w:ascii="Arial" w:hAnsi="Arial" w:cs="Arial"/>
          <w:b/>
          <w:sz w:val="28"/>
        </w:rPr>
        <w:t>8.2 T</w:t>
      </w:r>
      <w:r w:rsidR="00250878" w:rsidRPr="006E4AF1">
        <w:rPr>
          <w:rFonts w:ascii="Arial" w:hAnsi="Arial" w:cs="Arial"/>
          <w:b/>
          <w:sz w:val="28"/>
        </w:rPr>
        <w:t xml:space="preserve">raditional </w:t>
      </w:r>
      <w:r w:rsidR="00A20429">
        <w:rPr>
          <w:rFonts w:ascii="Arial" w:hAnsi="Arial" w:cs="Arial"/>
          <w:b/>
          <w:sz w:val="28"/>
        </w:rPr>
        <w:t xml:space="preserve">policies </w:t>
      </w:r>
      <w:r>
        <w:rPr>
          <w:rFonts w:ascii="Arial" w:hAnsi="Arial" w:cs="Arial"/>
          <w:b/>
          <w:sz w:val="28"/>
        </w:rPr>
        <w:t>and the self-employed</w:t>
      </w:r>
    </w:p>
    <w:p w14:paraId="27F63D0A" w14:textId="77777777" w:rsidR="00250878" w:rsidRPr="00F75FAF" w:rsidRDefault="00250878" w:rsidP="00695B2B">
      <w:pPr>
        <w:widowControl w:val="0"/>
        <w:autoSpaceDE w:val="0"/>
        <w:autoSpaceDN w:val="0"/>
        <w:adjustRightInd w:val="0"/>
        <w:spacing w:after="240"/>
        <w:jc w:val="both"/>
        <w:rPr>
          <w:rFonts w:ascii="Arial" w:hAnsi="Arial" w:cs="Arial"/>
        </w:rPr>
      </w:pPr>
      <w:r w:rsidRPr="00F75FAF">
        <w:rPr>
          <w:rFonts w:ascii="Arial" w:hAnsi="Arial" w:cs="Arial"/>
        </w:rPr>
        <w:t>It could be argued that the migration to, and increase in, self-employment should have driven an increase in individual purchases of protection policies but this does not look to be the case. For example, the number of new individual income protection sales fell by almost a quarter (24.4%) from 120,094 in 2012 to 90,794 in 2013.</w:t>
      </w:r>
      <w:r w:rsidRPr="00F75FAF">
        <w:rPr>
          <w:rStyle w:val="FootnoteReference"/>
          <w:rFonts w:ascii="Arial" w:hAnsi="Arial" w:cs="Arial"/>
        </w:rPr>
        <w:footnoteReference w:id="26"/>
      </w:r>
    </w:p>
    <w:p w14:paraId="2C907343" w14:textId="77777777" w:rsidR="00250878" w:rsidRPr="00F75FAF" w:rsidRDefault="00785392" w:rsidP="00695B2B">
      <w:pPr>
        <w:widowControl w:val="0"/>
        <w:autoSpaceDE w:val="0"/>
        <w:autoSpaceDN w:val="0"/>
        <w:adjustRightInd w:val="0"/>
        <w:spacing w:after="240"/>
        <w:jc w:val="both"/>
        <w:rPr>
          <w:rFonts w:ascii="Arial" w:hAnsi="Arial" w:cs="Arial"/>
        </w:rPr>
      </w:pPr>
      <w:r>
        <w:rPr>
          <w:rFonts w:ascii="Arial" w:hAnsi="Arial" w:cs="Arial"/>
        </w:rPr>
        <w:t>A</w:t>
      </w:r>
      <w:r w:rsidR="00250878" w:rsidRPr="00F75FAF">
        <w:rPr>
          <w:rFonts w:ascii="Arial" w:hAnsi="Arial" w:cs="Arial"/>
        </w:rPr>
        <w:t xml:space="preserve"> fall has </w:t>
      </w:r>
      <w:r>
        <w:rPr>
          <w:rFonts w:ascii="Arial" w:hAnsi="Arial" w:cs="Arial"/>
        </w:rPr>
        <w:t xml:space="preserve">also </w:t>
      </w:r>
      <w:r w:rsidR="00250878" w:rsidRPr="00F75FAF">
        <w:rPr>
          <w:rFonts w:ascii="Arial" w:hAnsi="Arial" w:cs="Arial"/>
        </w:rPr>
        <w:t>occurred in the individual paid Private Medical insurance sector from a peak of 1,228,000 in 2001 to 993,000 in 2011.</w:t>
      </w:r>
      <w:r w:rsidR="00250878" w:rsidRPr="00F75FAF">
        <w:rPr>
          <w:rStyle w:val="FootnoteReference"/>
          <w:rFonts w:ascii="Arial" w:hAnsi="Arial" w:cs="Arial"/>
        </w:rPr>
        <w:footnoteReference w:id="27"/>
      </w:r>
    </w:p>
    <w:p w14:paraId="480D0915" w14:textId="77777777" w:rsidR="00515A86" w:rsidRDefault="00250878" w:rsidP="00B06C60">
      <w:pPr>
        <w:widowControl w:val="0"/>
        <w:autoSpaceDE w:val="0"/>
        <w:autoSpaceDN w:val="0"/>
        <w:adjustRightInd w:val="0"/>
        <w:jc w:val="both"/>
        <w:rPr>
          <w:rFonts w:ascii="Arial" w:hAnsi="Arial" w:cs="Arial"/>
        </w:rPr>
      </w:pPr>
      <w:r w:rsidRPr="00F75FAF">
        <w:rPr>
          <w:rFonts w:ascii="Arial" w:hAnsi="Arial" w:cs="Arial"/>
        </w:rPr>
        <w:t>This again is disappointing given the degree of risk associated with self-employment if the individual is unable to work due to s</w:t>
      </w:r>
      <w:r w:rsidR="00B06C60">
        <w:rPr>
          <w:rFonts w:ascii="Arial" w:hAnsi="Arial" w:cs="Arial"/>
        </w:rPr>
        <w:t>ickness, accident or disability.</w:t>
      </w:r>
    </w:p>
    <w:p w14:paraId="4C3246D3" w14:textId="372242AC" w:rsidR="00250878" w:rsidRPr="00B06C60" w:rsidRDefault="006E4AF1" w:rsidP="00B06C60">
      <w:pPr>
        <w:widowControl w:val="0"/>
        <w:autoSpaceDE w:val="0"/>
        <w:autoSpaceDN w:val="0"/>
        <w:adjustRightInd w:val="0"/>
        <w:jc w:val="both"/>
        <w:rPr>
          <w:rFonts w:ascii="Arial" w:hAnsi="Arial" w:cs="Arial"/>
        </w:rPr>
      </w:pPr>
      <w:r>
        <w:rPr>
          <w:rFonts w:ascii="Arial" w:hAnsi="Arial" w:cs="Arial"/>
          <w:b/>
          <w:color w:val="943634"/>
          <w:sz w:val="28"/>
        </w:rPr>
        <w:lastRenderedPageBreak/>
        <w:t>9</w:t>
      </w:r>
      <w:r w:rsidR="00BB589F">
        <w:rPr>
          <w:rFonts w:ascii="Arial" w:hAnsi="Arial" w:cs="Arial"/>
          <w:b/>
          <w:color w:val="943634"/>
          <w:sz w:val="28"/>
        </w:rPr>
        <w:t xml:space="preserve">. </w:t>
      </w:r>
      <w:r w:rsidR="00250878" w:rsidRPr="00C87AF3">
        <w:rPr>
          <w:rFonts w:ascii="Arial" w:hAnsi="Arial" w:cs="Arial"/>
          <w:b/>
          <w:color w:val="943634"/>
          <w:sz w:val="28"/>
        </w:rPr>
        <w:t>Benefits in the workplace in the 21</w:t>
      </w:r>
      <w:r w:rsidR="00250878" w:rsidRPr="00C87AF3">
        <w:rPr>
          <w:rFonts w:ascii="Arial" w:hAnsi="Arial" w:cs="Arial"/>
          <w:b/>
          <w:color w:val="943634"/>
          <w:sz w:val="28"/>
          <w:vertAlign w:val="superscript"/>
        </w:rPr>
        <w:t>st</w:t>
      </w:r>
      <w:r>
        <w:rPr>
          <w:rFonts w:ascii="Arial" w:hAnsi="Arial" w:cs="Arial"/>
          <w:b/>
          <w:color w:val="943634"/>
          <w:sz w:val="28"/>
        </w:rPr>
        <w:t xml:space="preserve"> Century – Summary and C</w:t>
      </w:r>
      <w:r w:rsidR="00250878" w:rsidRPr="00C87AF3">
        <w:rPr>
          <w:rFonts w:ascii="Arial" w:hAnsi="Arial" w:cs="Arial"/>
          <w:b/>
          <w:color w:val="943634"/>
          <w:sz w:val="28"/>
        </w:rPr>
        <w:t>onclusion</w:t>
      </w:r>
    </w:p>
    <w:p w14:paraId="3FD3E7C4" w14:textId="77777777" w:rsidR="00250878" w:rsidRPr="00F75FAF" w:rsidRDefault="00250878" w:rsidP="00695B2B">
      <w:pPr>
        <w:widowControl w:val="0"/>
        <w:autoSpaceDE w:val="0"/>
        <w:autoSpaceDN w:val="0"/>
        <w:adjustRightInd w:val="0"/>
        <w:jc w:val="both"/>
        <w:rPr>
          <w:rFonts w:ascii="Arial" w:hAnsi="Arial" w:cs="Arial"/>
        </w:rPr>
      </w:pPr>
    </w:p>
    <w:p w14:paraId="7F2E69FE" w14:textId="77777777" w:rsidR="00E47D7A" w:rsidRPr="00E47D7A" w:rsidRDefault="00E47D7A" w:rsidP="00695B2B">
      <w:pPr>
        <w:widowControl w:val="0"/>
        <w:autoSpaceDE w:val="0"/>
        <w:autoSpaceDN w:val="0"/>
        <w:adjustRightInd w:val="0"/>
        <w:jc w:val="both"/>
        <w:rPr>
          <w:rFonts w:ascii="Arial" w:hAnsi="Arial" w:cs="Arial"/>
          <w:b/>
        </w:rPr>
      </w:pPr>
      <w:r w:rsidRPr="00E47D7A">
        <w:rPr>
          <w:rFonts w:ascii="Arial" w:hAnsi="Arial" w:cs="Arial"/>
          <w:b/>
        </w:rPr>
        <w:t>9.1 Summary</w:t>
      </w:r>
    </w:p>
    <w:p w14:paraId="046C38D1" w14:textId="77777777" w:rsidR="00E47D7A" w:rsidRDefault="00E47D7A" w:rsidP="00695B2B">
      <w:pPr>
        <w:widowControl w:val="0"/>
        <w:autoSpaceDE w:val="0"/>
        <w:autoSpaceDN w:val="0"/>
        <w:adjustRightInd w:val="0"/>
        <w:jc w:val="both"/>
        <w:rPr>
          <w:rFonts w:ascii="Arial" w:hAnsi="Arial" w:cs="Arial"/>
        </w:rPr>
      </w:pPr>
    </w:p>
    <w:p w14:paraId="3F6F1F3F" w14:textId="3DD73A0C" w:rsidR="00250878" w:rsidRPr="00F75FAF" w:rsidRDefault="00DE2794" w:rsidP="00695B2B">
      <w:pPr>
        <w:widowControl w:val="0"/>
        <w:autoSpaceDE w:val="0"/>
        <w:autoSpaceDN w:val="0"/>
        <w:adjustRightInd w:val="0"/>
        <w:jc w:val="both"/>
        <w:rPr>
          <w:rFonts w:ascii="Arial" w:hAnsi="Arial" w:cs="Arial"/>
        </w:rPr>
      </w:pPr>
      <w:r>
        <w:rPr>
          <w:rFonts w:ascii="Arial" w:hAnsi="Arial" w:cs="Arial"/>
        </w:rPr>
        <w:t>Statistics on market penetration indicate that, e</w:t>
      </w:r>
      <w:r w:rsidR="00250878" w:rsidRPr="00F75FAF">
        <w:rPr>
          <w:rFonts w:ascii="Arial" w:hAnsi="Arial" w:cs="Arial"/>
        </w:rPr>
        <w:t>ven before the recent recession</w:t>
      </w:r>
      <w:r>
        <w:rPr>
          <w:rFonts w:ascii="Arial" w:hAnsi="Arial" w:cs="Arial"/>
        </w:rPr>
        <w:t>,</w:t>
      </w:r>
      <w:r w:rsidR="00250878" w:rsidRPr="00F75FAF">
        <w:rPr>
          <w:rFonts w:ascii="Arial" w:hAnsi="Arial" w:cs="Arial"/>
        </w:rPr>
        <w:t xml:space="preserve"> traditional health-related group insurance benefits were failing to ga</w:t>
      </w:r>
      <w:r w:rsidR="00471AEA">
        <w:rPr>
          <w:rFonts w:ascii="Arial" w:hAnsi="Arial" w:cs="Arial"/>
        </w:rPr>
        <w:t xml:space="preserve">in </w:t>
      </w:r>
      <w:r w:rsidR="00B60C8A">
        <w:rPr>
          <w:rFonts w:ascii="Arial" w:hAnsi="Arial" w:cs="Arial"/>
        </w:rPr>
        <w:t xml:space="preserve">significant </w:t>
      </w:r>
      <w:r w:rsidR="00471AEA">
        <w:rPr>
          <w:rFonts w:ascii="Arial" w:hAnsi="Arial" w:cs="Arial"/>
        </w:rPr>
        <w:t xml:space="preserve">traction among UK employers, employees and the self-employed. </w:t>
      </w:r>
    </w:p>
    <w:p w14:paraId="1A7CEDD0" w14:textId="77777777" w:rsidR="00C42A0E" w:rsidRDefault="00C42A0E" w:rsidP="00C42A0E">
      <w:pPr>
        <w:widowControl w:val="0"/>
        <w:autoSpaceDE w:val="0"/>
        <w:autoSpaceDN w:val="0"/>
        <w:adjustRightInd w:val="0"/>
        <w:jc w:val="both"/>
        <w:rPr>
          <w:rFonts w:ascii="Arial" w:hAnsi="Arial" w:cs="Arial"/>
        </w:rPr>
      </w:pPr>
    </w:p>
    <w:p w14:paraId="3B4E7F82" w14:textId="77777777" w:rsidR="00250878" w:rsidRPr="00F75FAF" w:rsidRDefault="00250878" w:rsidP="00695B2B">
      <w:pPr>
        <w:widowControl w:val="0"/>
        <w:autoSpaceDE w:val="0"/>
        <w:autoSpaceDN w:val="0"/>
        <w:adjustRightInd w:val="0"/>
        <w:spacing w:after="240"/>
        <w:jc w:val="both"/>
        <w:rPr>
          <w:rFonts w:ascii="Arial" w:hAnsi="Arial" w:cs="Arial"/>
        </w:rPr>
      </w:pPr>
      <w:r w:rsidRPr="00F75FAF">
        <w:rPr>
          <w:rFonts w:ascii="Arial" w:hAnsi="Arial" w:cs="Arial"/>
        </w:rPr>
        <w:t>As has been outlined in this paper, this has been due to a combination of factors:</w:t>
      </w:r>
    </w:p>
    <w:p w14:paraId="4D7E7AD6" w14:textId="1B3E560E"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Changes in the relationships between employers and employees</w:t>
      </w:r>
      <w:r w:rsidR="00882A1E">
        <w:rPr>
          <w:rFonts w:ascii="Arial" w:hAnsi="Arial" w:cs="Arial"/>
        </w:rPr>
        <w:t xml:space="preserve">, </w:t>
      </w:r>
      <w:r w:rsidRPr="00F75FAF">
        <w:rPr>
          <w:rFonts w:ascii="Arial" w:hAnsi="Arial" w:cs="Arial"/>
        </w:rPr>
        <w:t>the nature of employment itself</w:t>
      </w:r>
      <w:r w:rsidR="00882A1E">
        <w:rPr>
          <w:rFonts w:ascii="Arial" w:hAnsi="Arial" w:cs="Arial"/>
        </w:rPr>
        <w:t xml:space="preserve"> and the growth in micro-businesses and self-employment</w:t>
      </w:r>
    </w:p>
    <w:p w14:paraId="083B5111" w14:textId="77777777" w:rsidR="00D11DD2" w:rsidRDefault="00D11DD2" w:rsidP="00D11DD2">
      <w:pPr>
        <w:pStyle w:val="ListParagraph"/>
        <w:widowControl w:val="0"/>
        <w:autoSpaceDE w:val="0"/>
        <w:autoSpaceDN w:val="0"/>
        <w:adjustRightInd w:val="0"/>
        <w:spacing w:after="240"/>
        <w:jc w:val="both"/>
        <w:rPr>
          <w:rFonts w:ascii="Arial" w:hAnsi="Arial" w:cs="Arial"/>
        </w:rPr>
      </w:pPr>
    </w:p>
    <w:p w14:paraId="66A1AD2D" w14:textId="77777777"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Demographics such as the ageing workforce and a new baby boom</w:t>
      </w:r>
      <w:r w:rsidR="00AA508E">
        <w:rPr>
          <w:rFonts w:ascii="Arial" w:hAnsi="Arial" w:cs="Arial"/>
        </w:rPr>
        <w:t xml:space="preserve"> with consequent changing attitudes to benefits and work generally</w:t>
      </w:r>
    </w:p>
    <w:p w14:paraId="637D736F" w14:textId="77777777" w:rsidR="00D11DD2" w:rsidRPr="00D11DD2" w:rsidRDefault="00D11DD2" w:rsidP="00D11DD2">
      <w:pPr>
        <w:pStyle w:val="ListParagraph"/>
        <w:rPr>
          <w:rFonts w:ascii="Arial" w:hAnsi="Arial" w:cs="Arial"/>
        </w:rPr>
      </w:pPr>
    </w:p>
    <w:p w14:paraId="5EC24C3A" w14:textId="41782191"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The recognition of the importance of employee engagement and the need for more personalised benefit offerings – one size no longer fits all. Employer</w:t>
      </w:r>
      <w:r w:rsidR="00471AEA">
        <w:rPr>
          <w:rFonts w:ascii="Arial" w:hAnsi="Arial" w:cs="Arial"/>
        </w:rPr>
        <w:t>s are being</w:t>
      </w:r>
      <w:r w:rsidRPr="00F75FAF">
        <w:rPr>
          <w:rFonts w:ascii="Arial" w:hAnsi="Arial" w:cs="Arial"/>
        </w:rPr>
        <w:t xml:space="preserve"> forced to provide a wider range of benefits when attempting to recruit</w:t>
      </w:r>
      <w:r w:rsidR="00882A1E">
        <w:rPr>
          <w:rFonts w:ascii="Arial" w:hAnsi="Arial" w:cs="Arial"/>
        </w:rPr>
        <w:t xml:space="preserve"> and retain</w:t>
      </w:r>
    </w:p>
    <w:p w14:paraId="5EF34448" w14:textId="77777777" w:rsidR="00D11DD2" w:rsidRPr="00D11DD2" w:rsidRDefault="00D11DD2" w:rsidP="00D11DD2">
      <w:pPr>
        <w:pStyle w:val="ListParagraph"/>
        <w:rPr>
          <w:rFonts w:ascii="Arial" w:hAnsi="Arial" w:cs="Arial"/>
        </w:rPr>
      </w:pPr>
    </w:p>
    <w:p w14:paraId="358F579F" w14:textId="77777777"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Changing attitudes – in the 21</w:t>
      </w:r>
      <w:r w:rsidRPr="00F75FAF">
        <w:rPr>
          <w:rFonts w:ascii="Arial" w:hAnsi="Arial" w:cs="Arial"/>
          <w:vertAlign w:val="superscript"/>
        </w:rPr>
        <w:t>st</w:t>
      </w:r>
      <w:r w:rsidRPr="00F75FAF">
        <w:rPr>
          <w:rFonts w:ascii="Arial" w:hAnsi="Arial" w:cs="Arial"/>
        </w:rPr>
        <w:t xml:space="preserve"> century employees do not tend to believe in, or seek, a job for life. In order to be valued, benefits must be transferrable and/or deliver im</w:t>
      </w:r>
      <w:r w:rsidR="00471AEA">
        <w:rPr>
          <w:rFonts w:ascii="Arial" w:hAnsi="Arial" w:cs="Arial"/>
        </w:rPr>
        <w:t>mediate short-term satisfaction</w:t>
      </w:r>
    </w:p>
    <w:p w14:paraId="014AD336" w14:textId="77777777" w:rsidR="005E06EE" w:rsidRDefault="005E06EE" w:rsidP="005E06EE">
      <w:pPr>
        <w:pStyle w:val="ListParagraph"/>
        <w:widowControl w:val="0"/>
        <w:autoSpaceDE w:val="0"/>
        <w:autoSpaceDN w:val="0"/>
        <w:adjustRightInd w:val="0"/>
        <w:spacing w:after="240"/>
        <w:jc w:val="both"/>
        <w:rPr>
          <w:rFonts w:ascii="Arial" w:hAnsi="Arial" w:cs="Arial"/>
        </w:rPr>
      </w:pPr>
    </w:p>
    <w:p w14:paraId="04DAC2D8" w14:textId="7E0D9BD3" w:rsidR="00B60C8A" w:rsidRDefault="00B60C8A" w:rsidP="00695B2B">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 xml:space="preserve">Individuals </w:t>
      </w:r>
      <w:r w:rsidR="00882A1E">
        <w:rPr>
          <w:rFonts w:ascii="Arial" w:hAnsi="Arial" w:cs="Arial"/>
        </w:rPr>
        <w:t xml:space="preserve">continuing to </w:t>
      </w:r>
      <w:r>
        <w:rPr>
          <w:rFonts w:ascii="Arial" w:hAnsi="Arial" w:cs="Arial"/>
        </w:rPr>
        <w:t>over-estimate the support available from the State and their employer and under-estimate the likelihood of incapacity</w:t>
      </w:r>
    </w:p>
    <w:p w14:paraId="572143F4" w14:textId="77777777" w:rsidR="00D11DD2" w:rsidRPr="00D11DD2" w:rsidRDefault="00D11DD2" w:rsidP="00D11DD2">
      <w:pPr>
        <w:pStyle w:val="ListParagraph"/>
        <w:rPr>
          <w:rFonts w:ascii="Arial" w:hAnsi="Arial" w:cs="Arial"/>
        </w:rPr>
      </w:pPr>
    </w:p>
    <w:p w14:paraId="3238D5A3" w14:textId="77777777"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 xml:space="preserve">New employee needs keep emerging (for example, help with elder care) which will require creative thinking </w:t>
      </w:r>
      <w:r w:rsidR="00471AEA">
        <w:rPr>
          <w:rFonts w:ascii="Arial" w:hAnsi="Arial" w:cs="Arial"/>
        </w:rPr>
        <w:t>by both employers and benefits providers</w:t>
      </w:r>
    </w:p>
    <w:p w14:paraId="49689A91" w14:textId="77777777" w:rsidR="00D11DD2" w:rsidRPr="00D11DD2" w:rsidRDefault="00D11DD2" w:rsidP="00D11DD2">
      <w:pPr>
        <w:pStyle w:val="ListParagraph"/>
        <w:rPr>
          <w:rFonts w:ascii="Arial" w:hAnsi="Arial" w:cs="Arial"/>
        </w:rPr>
      </w:pPr>
    </w:p>
    <w:p w14:paraId="4CFE8A09" w14:textId="77777777"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 xml:space="preserve">The cost implications of the ageing workforce and the change in the nature of </w:t>
      </w:r>
      <w:r w:rsidR="00AA508E">
        <w:rPr>
          <w:rFonts w:ascii="Arial" w:hAnsi="Arial" w:cs="Arial"/>
        </w:rPr>
        <w:t xml:space="preserve">the </w:t>
      </w:r>
      <w:r w:rsidRPr="00F75FAF">
        <w:rPr>
          <w:rFonts w:ascii="Arial" w:hAnsi="Arial" w:cs="Arial"/>
        </w:rPr>
        <w:t>medical conditions</w:t>
      </w:r>
      <w:r w:rsidR="00471AEA">
        <w:rPr>
          <w:rFonts w:ascii="Arial" w:hAnsi="Arial" w:cs="Arial"/>
        </w:rPr>
        <w:t xml:space="preserve"> </w:t>
      </w:r>
      <w:r w:rsidR="00AA508E">
        <w:rPr>
          <w:rFonts w:ascii="Arial" w:hAnsi="Arial" w:cs="Arial"/>
        </w:rPr>
        <w:t>they may acquire</w:t>
      </w:r>
    </w:p>
    <w:p w14:paraId="5C02618C" w14:textId="77777777" w:rsidR="00D11DD2" w:rsidRPr="00D11DD2" w:rsidRDefault="00D11DD2" w:rsidP="00D11DD2">
      <w:pPr>
        <w:pStyle w:val="ListParagraph"/>
        <w:rPr>
          <w:rFonts w:ascii="Arial" w:hAnsi="Arial" w:cs="Arial"/>
        </w:rPr>
      </w:pPr>
    </w:p>
    <w:p w14:paraId="62650F60" w14:textId="77777777"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A move by successive governments to place more emphasis on the role of the employer in employee welfare</w:t>
      </w:r>
    </w:p>
    <w:p w14:paraId="5A0BB5B5" w14:textId="77777777" w:rsidR="00D11DD2" w:rsidRPr="00D11DD2" w:rsidRDefault="00D11DD2" w:rsidP="00D11DD2">
      <w:pPr>
        <w:pStyle w:val="ListParagraph"/>
        <w:rPr>
          <w:rFonts w:ascii="Arial" w:hAnsi="Arial" w:cs="Arial"/>
        </w:rPr>
      </w:pPr>
    </w:p>
    <w:p w14:paraId="0E46C6CF" w14:textId="77777777" w:rsidR="00250878" w:rsidRDefault="00250878" w:rsidP="00695B2B">
      <w:pPr>
        <w:pStyle w:val="ListParagraph"/>
        <w:widowControl w:val="0"/>
        <w:numPr>
          <w:ilvl w:val="0"/>
          <w:numId w:val="9"/>
        </w:numPr>
        <w:autoSpaceDE w:val="0"/>
        <w:autoSpaceDN w:val="0"/>
        <w:adjustRightInd w:val="0"/>
        <w:spacing w:after="240"/>
        <w:jc w:val="both"/>
        <w:rPr>
          <w:rFonts w:ascii="Arial" w:hAnsi="Arial" w:cs="Arial"/>
        </w:rPr>
      </w:pPr>
      <w:r w:rsidRPr="00F75FAF">
        <w:rPr>
          <w:rFonts w:ascii="Arial" w:hAnsi="Arial" w:cs="Arial"/>
        </w:rPr>
        <w:t xml:space="preserve">The emerging trend towards prevention rather than cure. Traditional policies tend to kick in after the insured event. </w:t>
      </w:r>
      <w:r w:rsidR="00471AEA">
        <w:rPr>
          <w:rFonts w:ascii="Arial" w:hAnsi="Arial" w:cs="Arial"/>
        </w:rPr>
        <w:t xml:space="preserve">On the other hand, </w:t>
      </w:r>
      <w:r w:rsidRPr="00F75FAF">
        <w:rPr>
          <w:rFonts w:ascii="Arial" w:hAnsi="Arial" w:cs="Arial"/>
        </w:rPr>
        <w:t>Wellbeing programmes, for example, if properly delivered, can be motivational tools in their own right.</w:t>
      </w:r>
    </w:p>
    <w:p w14:paraId="2E957DA2" w14:textId="77777777" w:rsidR="005E06EE" w:rsidRDefault="005E06EE" w:rsidP="005E06EE">
      <w:pPr>
        <w:pStyle w:val="ListParagraph"/>
        <w:widowControl w:val="0"/>
        <w:autoSpaceDE w:val="0"/>
        <w:autoSpaceDN w:val="0"/>
        <w:adjustRightInd w:val="0"/>
        <w:spacing w:after="240"/>
        <w:jc w:val="both"/>
        <w:rPr>
          <w:rFonts w:ascii="Arial" w:hAnsi="Arial" w:cs="Arial"/>
        </w:rPr>
      </w:pPr>
    </w:p>
    <w:p w14:paraId="7D127851" w14:textId="679450D6" w:rsidR="00E47D7A" w:rsidRDefault="00E47D7A" w:rsidP="00695B2B">
      <w:pPr>
        <w:pStyle w:val="ListParagraph"/>
        <w:widowControl w:val="0"/>
        <w:numPr>
          <w:ilvl w:val="0"/>
          <w:numId w:val="9"/>
        </w:numPr>
        <w:autoSpaceDE w:val="0"/>
        <w:autoSpaceDN w:val="0"/>
        <w:adjustRightInd w:val="0"/>
        <w:spacing w:after="240"/>
        <w:jc w:val="both"/>
        <w:rPr>
          <w:rFonts w:ascii="Arial" w:hAnsi="Arial" w:cs="Arial"/>
        </w:rPr>
      </w:pPr>
      <w:r>
        <w:rPr>
          <w:rFonts w:ascii="Arial" w:hAnsi="Arial" w:cs="Arial"/>
        </w:rPr>
        <w:t>The attractiveness of self-insurance</w:t>
      </w:r>
    </w:p>
    <w:p w14:paraId="322A10EE" w14:textId="77777777" w:rsidR="00C61D00" w:rsidRPr="00C61D00" w:rsidRDefault="00C61D00" w:rsidP="00C61D00">
      <w:pPr>
        <w:pStyle w:val="ListParagraph"/>
        <w:rPr>
          <w:rFonts w:ascii="Arial" w:hAnsi="Arial" w:cs="Arial"/>
        </w:rPr>
      </w:pPr>
    </w:p>
    <w:p w14:paraId="51304EC7" w14:textId="77777777" w:rsidR="00B06C60" w:rsidRDefault="00B06C60" w:rsidP="00D11DD2">
      <w:pPr>
        <w:widowControl w:val="0"/>
        <w:autoSpaceDE w:val="0"/>
        <w:autoSpaceDN w:val="0"/>
        <w:adjustRightInd w:val="0"/>
        <w:jc w:val="both"/>
        <w:rPr>
          <w:rFonts w:ascii="Arial" w:hAnsi="Arial" w:cs="Arial"/>
          <w:b/>
        </w:rPr>
      </w:pPr>
      <w:r>
        <w:rPr>
          <w:rFonts w:ascii="Arial" w:hAnsi="Arial" w:cs="Arial"/>
          <w:b/>
        </w:rPr>
        <w:t xml:space="preserve">9.2 Conclusion </w:t>
      </w:r>
    </w:p>
    <w:p w14:paraId="6BFF089B" w14:textId="77777777" w:rsidR="00B06C60" w:rsidRDefault="00B06C60" w:rsidP="00D11DD2">
      <w:pPr>
        <w:widowControl w:val="0"/>
        <w:autoSpaceDE w:val="0"/>
        <w:autoSpaceDN w:val="0"/>
        <w:adjustRightInd w:val="0"/>
        <w:jc w:val="both"/>
        <w:rPr>
          <w:rFonts w:ascii="Arial" w:hAnsi="Arial" w:cs="Arial"/>
          <w:b/>
        </w:rPr>
      </w:pPr>
    </w:p>
    <w:p w14:paraId="6434B19E" w14:textId="4652595E" w:rsidR="00E514E0" w:rsidRDefault="00E47D7A" w:rsidP="00D11DD2">
      <w:pPr>
        <w:widowControl w:val="0"/>
        <w:autoSpaceDE w:val="0"/>
        <w:autoSpaceDN w:val="0"/>
        <w:adjustRightInd w:val="0"/>
        <w:jc w:val="both"/>
        <w:rPr>
          <w:rFonts w:ascii="Arial" w:hAnsi="Arial" w:cs="Arial"/>
        </w:rPr>
      </w:pPr>
      <w:r w:rsidRPr="00B06C60">
        <w:rPr>
          <w:rFonts w:ascii="Arial" w:hAnsi="Arial" w:cs="Arial"/>
        </w:rPr>
        <w:t xml:space="preserve">Employers </w:t>
      </w:r>
      <w:r w:rsidR="00B06C60">
        <w:rPr>
          <w:rFonts w:ascii="Arial" w:hAnsi="Arial" w:cs="Arial"/>
        </w:rPr>
        <w:t>have been facilitators for</w:t>
      </w:r>
      <w:r w:rsidR="00A20429" w:rsidRPr="00B06C60">
        <w:rPr>
          <w:rFonts w:ascii="Arial" w:hAnsi="Arial" w:cs="Arial"/>
        </w:rPr>
        <w:t xml:space="preserve"> decades,</w:t>
      </w:r>
      <w:r w:rsidRPr="00B06C60">
        <w:rPr>
          <w:rFonts w:ascii="Arial" w:hAnsi="Arial" w:cs="Arial"/>
        </w:rPr>
        <w:t xml:space="preserve"> and this role is set to continue and increase in importance</w:t>
      </w:r>
      <w:r w:rsidR="00B06C60">
        <w:rPr>
          <w:rFonts w:ascii="Arial" w:hAnsi="Arial" w:cs="Arial"/>
        </w:rPr>
        <w:t xml:space="preserve"> as organisations try to tailor benefits to play a key part in improving individual employee engagement</w:t>
      </w:r>
      <w:r w:rsidR="006639D8">
        <w:rPr>
          <w:rFonts w:ascii="Arial" w:hAnsi="Arial" w:cs="Arial"/>
        </w:rPr>
        <w:t xml:space="preserve">. </w:t>
      </w:r>
      <w:r w:rsidR="006E3743">
        <w:rPr>
          <w:rFonts w:ascii="Helvetica" w:hAnsi="Helvetica" w:cs="Helvetica"/>
        </w:rPr>
        <w:t xml:space="preserve">Evidence for this can be seen in </w:t>
      </w:r>
      <w:r w:rsidR="00E514E0">
        <w:rPr>
          <w:rFonts w:ascii="Helvetica" w:hAnsi="Helvetica" w:cs="Helvetica"/>
        </w:rPr>
        <w:t>the growth</w:t>
      </w:r>
      <w:r w:rsidR="00AA508E">
        <w:rPr>
          <w:rFonts w:ascii="Helvetica" w:hAnsi="Helvetica" w:cs="Helvetica"/>
        </w:rPr>
        <w:t xml:space="preserve"> of flex and the success of</w:t>
      </w:r>
      <w:r w:rsidR="00E514E0">
        <w:rPr>
          <w:rFonts w:ascii="Helvetica" w:hAnsi="Helvetica" w:cs="Helvetica"/>
        </w:rPr>
        <w:t xml:space="preserve"> a wide range of </w:t>
      </w:r>
      <w:r w:rsidR="006E3743">
        <w:rPr>
          <w:rFonts w:ascii="Helvetica" w:hAnsi="Helvetica" w:cs="Helvetica"/>
        </w:rPr>
        <w:t xml:space="preserve">relatively new </w:t>
      </w:r>
      <w:r w:rsidR="00E514E0">
        <w:rPr>
          <w:rFonts w:ascii="Helvetica" w:hAnsi="Helvetica" w:cs="Helvetica"/>
        </w:rPr>
        <w:t>be</w:t>
      </w:r>
      <w:r w:rsidR="006E3743">
        <w:rPr>
          <w:rFonts w:ascii="Helvetica" w:hAnsi="Helvetica" w:cs="Helvetica"/>
        </w:rPr>
        <w:t>nefit options</w:t>
      </w:r>
      <w:r w:rsidR="00E514E0">
        <w:rPr>
          <w:rFonts w:ascii="Helvetica" w:hAnsi="Helvetica" w:cs="Helvetica"/>
        </w:rPr>
        <w:t>.</w:t>
      </w:r>
      <w:r w:rsidR="00250878" w:rsidRPr="00F75FAF">
        <w:rPr>
          <w:rFonts w:ascii="Arial" w:hAnsi="Arial" w:cs="Arial"/>
        </w:rPr>
        <w:t xml:space="preserve"> </w:t>
      </w:r>
    </w:p>
    <w:p w14:paraId="0F4B446C" w14:textId="77777777" w:rsidR="006639D8" w:rsidRDefault="006639D8" w:rsidP="00D11DD2">
      <w:pPr>
        <w:widowControl w:val="0"/>
        <w:autoSpaceDE w:val="0"/>
        <w:autoSpaceDN w:val="0"/>
        <w:adjustRightInd w:val="0"/>
        <w:jc w:val="both"/>
        <w:rPr>
          <w:rFonts w:ascii="Arial" w:hAnsi="Arial" w:cs="Arial"/>
        </w:rPr>
      </w:pPr>
    </w:p>
    <w:p w14:paraId="0A4AED7A" w14:textId="5C36C1FE" w:rsidR="00250878" w:rsidRPr="00E514E0" w:rsidRDefault="006639D8" w:rsidP="00D11DD2">
      <w:pPr>
        <w:widowControl w:val="0"/>
        <w:autoSpaceDE w:val="0"/>
        <w:autoSpaceDN w:val="0"/>
        <w:adjustRightInd w:val="0"/>
        <w:jc w:val="both"/>
        <w:rPr>
          <w:rFonts w:ascii="Helvetica" w:hAnsi="Helvetica" w:cs="Helvetica"/>
        </w:rPr>
      </w:pPr>
      <w:r>
        <w:rPr>
          <w:rFonts w:ascii="Helvetica" w:hAnsi="Helvetica" w:cs="Helvetica"/>
        </w:rPr>
        <w:t>F</w:t>
      </w:r>
      <w:r w:rsidR="00B60C8A">
        <w:rPr>
          <w:rFonts w:ascii="Helvetica" w:hAnsi="Helvetica" w:cs="Helvetica"/>
        </w:rPr>
        <w:t xml:space="preserve">or insurers </w:t>
      </w:r>
      <w:r w:rsidR="00882A1E">
        <w:rPr>
          <w:rFonts w:ascii="Helvetica" w:hAnsi="Helvetica" w:cs="Helvetica"/>
        </w:rPr>
        <w:t xml:space="preserve">this means, </w:t>
      </w:r>
      <w:r w:rsidR="00882A1E" w:rsidRPr="00882A1E">
        <w:rPr>
          <w:rFonts w:ascii="Helvetica" w:hAnsi="Helvetica" w:cs="Helvetica"/>
          <w:i/>
        </w:rPr>
        <w:t>inter alia</w:t>
      </w:r>
      <w:r w:rsidR="00882A1E">
        <w:rPr>
          <w:rFonts w:ascii="Helvetica" w:hAnsi="Helvetica" w:cs="Helvetica"/>
        </w:rPr>
        <w:t xml:space="preserve">, </w:t>
      </w:r>
      <w:r w:rsidR="00DE2794">
        <w:rPr>
          <w:rFonts w:ascii="Helvetica" w:hAnsi="Helvetica" w:cs="Helvetica"/>
        </w:rPr>
        <w:t xml:space="preserve">the end of the old </w:t>
      </w:r>
      <w:r w:rsidR="00AD4E7F">
        <w:rPr>
          <w:rFonts w:ascii="Helvetica" w:hAnsi="Helvetica" w:cs="Helvetica"/>
        </w:rPr>
        <w:t xml:space="preserve">automatic </w:t>
      </w:r>
      <w:r w:rsidR="00DE2794">
        <w:rPr>
          <w:rFonts w:ascii="Helvetica" w:hAnsi="Helvetica" w:cs="Helvetica"/>
        </w:rPr>
        <w:t>demarcation lines between 'Group' and 'Individual' business</w:t>
      </w:r>
      <w:r w:rsidR="00AA508E">
        <w:rPr>
          <w:rFonts w:ascii="Helvetica" w:hAnsi="Helvetica" w:cs="Helvetica"/>
        </w:rPr>
        <w:t>.</w:t>
      </w:r>
      <w:r w:rsidR="00DE2794">
        <w:rPr>
          <w:rFonts w:ascii="Helvetica" w:hAnsi="Helvetica" w:cs="Helvetica"/>
        </w:rPr>
        <w:t xml:space="preserve"> </w:t>
      </w:r>
      <w:r w:rsidR="00502789">
        <w:rPr>
          <w:rFonts w:ascii="Helvetica" w:hAnsi="Helvetica" w:cs="Helvetica"/>
        </w:rPr>
        <w:t>In their marketing strategies, insurers</w:t>
      </w:r>
      <w:r w:rsidR="00DE2794">
        <w:rPr>
          <w:rFonts w:ascii="Helvetica" w:hAnsi="Helvetica" w:cs="Helvetica"/>
        </w:rPr>
        <w:t xml:space="preserve"> </w:t>
      </w:r>
      <w:r w:rsidR="00AA508E">
        <w:rPr>
          <w:rFonts w:ascii="Helvetica" w:hAnsi="Helvetica" w:cs="Helvetica"/>
        </w:rPr>
        <w:t>must now</w:t>
      </w:r>
      <w:r w:rsidR="00DE2794">
        <w:rPr>
          <w:rFonts w:ascii="Helvetica" w:hAnsi="Helvetica" w:cs="Helvetica"/>
        </w:rPr>
        <w:t xml:space="preserve"> look at</w:t>
      </w:r>
      <w:r w:rsidR="00471AEA">
        <w:rPr>
          <w:rFonts w:ascii="Helvetica" w:hAnsi="Helvetica" w:cs="Helvetica"/>
        </w:rPr>
        <w:t>,</w:t>
      </w:r>
      <w:r w:rsidR="00DE2794">
        <w:rPr>
          <w:rFonts w:ascii="Helvetica" w:hAnsi="Helvetica" w:cs="Helvetica"/>
        </w:rPr>
        <w:t xml:space="preserve"> and segment</w:t>
      </w:r>
      <w:r w:rsidR="00471AEA">
        <w:rPr>
          <w:rFonts w:ascii="Helvetica" w:hAnsi="Helvetica" w:cs="Helvetica"/>
        </w:rPr>
        <w:t>,</w:t>
      </w:r>
      <w:r w:rsidR="0008250A">
        <w:rPr>
          <w:rFonts w:ascii="Helvetica" w:hAnsi="Helvetica" w:cs="Helvetica"/>
        </w:rPr>
        <w:t xml:space="preserve"> the working population in a more sophisticated fashion</w:t>
      </w:r>
      <w:r w:rsidR="00DE2794">
        <w:rPr>
          <w:rFonts w:ascii="Helvetica" w:hAnsi="Helvetica" w:cs="Helvetica"/>
        </w:rPr>
        <w:t xml:space="preserve">. </w:t>
      </w:r>
      <w:r w:rsidR="0008250A">
        <w:rPr>
          <w:rFonts w:ascii="Helvetica" w:hAnsi="Helvetica" w:cs="Helvetica"/>
        </w:rPr>
        <w:t>‘Number of employees’, for example, is no longer a useful segment definition (if, indeed, it ever was).</w:t>
      </w:r>
    </w:p>
    <w:p w14:paraId="77851A43" w14:textId="77777777" w:rsidR="00D11DD2" w:rsidRDefault="00D11DD2" w:rsidP="00D11DD2">
      <w:pPr>
        <w:widowControl w:val="0"/>
        <w:autoSpaceDE w:val="0"/>
        <w:autoSpaceDN w:val="0"/>
        <w:adjustRightInd w:val="0"/>
        <w:jc w:val="both"/>
        <w:rPr>
          <w:rFonts w:ascii="Arial" w:hAnsi="Arial" w:cs="Arial"/>
        </w:rPr>
      </w:pPr>
    </w:p>
    <w:p w14:paraId="484D7E57" w14:textId="46C53F2A" w:rsidR="00250878" w:rsidRDefault="00E514E0" w:rsidP="00D11DD2">
      <w:pPr>
        <w:widowControl w:val="0"/>
        <w:autoSpaceDE w:val="0"/>
        <w:autoSpaceDN w:val="0"/>
        <w:adjustRightInd w:val="0"/>
        <w:spacing w:after="240"/>
        <w:jc w:val="both"/>
        <w:rPr>
          <w:rFonts w:ascii="Arial" w:hAnsi="Arial" w:cs="Arial"/>
        </w:rPr>
      </w:pPr>
      <w:r>
        <w:rPr>
          <w:rFonts w:ascii="Arial" w:hAnsi="Arial" w:cs="Arial"/>
        </w:rPr>
        <w:t>These</w:t>
      </w:r>
      <w:r w:rsidR="00250878" w:rsidRPr="00F75FAF">
        <w:rPr>
          <w:rFonts w:ascii="Arial" w:hAnsi="Arial" w:cs="Arial"/>
        </w:rPr>
        <w:t xml:space="preserve"> trend</w:t>
      </w:r>
      <w:r>
        <w:rPr>
          <w:rFonts w:ascii="Arial" w:hAnsi="Arial" w:cs="Arial"/>
        </w:rPr>
        <w:t>s do</w:t>
      </w:r>
      <w:r w:rsidR="00B06C60">
        <w:rPr>
          <w:rFonts w:ascii="Arial" w:hAnsi="Arial" w:cs="Arial"/>
        </w:rPr>
        <w:t xml:space="preserve"> not herald the end of the importance of insurance</w:t>
      </w:r>
      <w:r w:rsidR="00785392">
        <w:rPr>
          <w:rFonts w:ascii="Arial" w:hAnsi="Arial" w:cs="Arial"/>
        </w:rPr>
        <w:t xml:space="preserve"> </w:t>
      </w:r>
      <w:r w:rsidR="00B06C60">
        <w:rPr>
          <w:rFonts w:ascii="Arial" w:hAnsi="Arial" w:cs="Arial"/>
        </w:rPr>
        <w:t>in employee benefit strategies. On the contrary, they open up fresh opportunities:</w:t>
      </w:r>
    </w:p>
    <w:p w14:paraId="0CD237A5" w14:textId="1223BB76" w:rsidR="006639D8" w:rsidRPr="006639D8" w:rsidRDefault="00AD4E7F" w:rsidP="006639D8">
      <w:pPr>
        <w:widowControl w:val="0"/>
        <w:autoSpaceDE w:val="0"/>
        <w:autoSpaceDN w:val="0"/>
        <w:adjustRightInd w:val="0"/>
        <w:spacing w:after="240"/>
        <w:jc w:val="both"/>
        <w:rPr>
          <w:rFonts w:ascii="Helvetica" w:hAnsi="Helvetica" w:cs="Helvetica"/>
        </w:rPr>
      </w:pPr>
      <w:r>
        <w:rPr>
          <w:rFonts w:ascii="Helvetica" w:hAnsi="Helvetica" w:cs="Helvetica"/>
        </w:rPr>
        <w:t xml:space="preserve">1. </w:t>
      </w:r>
      <w:r w:rsidR="006639D8" w:rsidRPr="006639D8">
        <w:rPr>
          <w:rFonts w:ascii="Helvetica" w:hAnsi="Helvetica" w:cs="Helvetica"/>
        </w:rPr>
        <w:t>The growth in self-employment and micro-businesses presents a great opportunity in view of the clear need such people have to protect their livelihood in the event of incapacity</w:t>
      </w:r>
    </w:p>
    <w:p w14:paraId="2958236B" w14:textId="76E3B740" w:rsidR="006639D8" w:rsidRDefault="00AD4E7F" w:rsidP="00D11DD2">
      <w:pPr>
        <w:widowControl w:val="0"/>
        <w:autoSpaceDE w:val="0"/>
        <w:autoSpaceDN w:val="0"/>
        <w:adjustRightInd w:val="0"/>
        <w:spacing w:after="240"/>
        <w:jc w:val="both"/>
        <w:rPr>
          <w:rFonts w:ascii="Arial" w:hAnsi="Arial" w:cs="Arial"/>
        </w:rPr>
      </w:pPr>
      <w:r>
        <w:rPr>
          <w:rFonts w:ascii="Helvetica" w:hAnsi="Helvetica" w:cs="Helvetica"/>
        </w:rPr>
        <w:t xml:space="preserve">2. </w:t>
      </w:r>
      <w:r w:rsidR="006639D8">
        <w:rPr>
          <w:rFonts w:ascii="Helvetica" w:hAnsi="Helvetica" w:cs="Helvetica"/>
        </w:rPr>
        <w:t>S</w:t>
      </w:r>
      <w:r w:rsidR="006639D8" w:rsidRPr="006639D8">
        <w:rPr>
          <w:rFonts w:ascii="Helvetica" w:hAnsi="Helvetica" w:cs="Helvetica"/>
        </w:rPr>
        <w:t xml:space="preserve">mall </w:t>
      </w:r>
      <w:r w:rsidR="006639D8">
        <w:rPr>
          <w:rFonts w:ascii="Helvetica" w:hAnsi="Helvetica" w:cs="Helvetica"/>
        </w:rPr>
        <w:t xml:space="preserve">to medium size </w:t>
      </w:r>
      <w:r w:rsidR="006639D8" w:rsidRPr="006639D8">
        <w:rPr>
          <w:rFonts w:ascii="Helvetica" w:hAnsi="Helvetica" w:cs="Helvetica"/>
        </w:rPr>
        <w:t xml:space="preserve">businesses face the </w:t>
      </w:r>
      <w:r w:rsidR="006639D8">
        <w:rPr>
          <w:rFonts w:ascii="Helvetica" w:hAnsi="Helvetica" w:cs="Helvetica"/>
        </w:rPr>
        <w:t>similar risks</w:t>
      </w:r>
      <w:r w:rsidR="006639D8" w:rsidRPr="006639D8">
        <w:rPr>
          <w:rFonts w:ascii="Helvetica" w:hAnsi="Helvetica" w:cs="Helvetica"/>
        </w:rPr>
        <w:t xml:space="preserve"> with regard to the business owner and key employees</w:t>
      </w:r>
      <w:r>
        <w:rPr>
          <w:rFonts w:ascii="Helvetica" w:hAnsi="Helvetica" w:cs="Helvetica"/>
        </w:rPr>
        <w:t>, and pensions auto-enrolment opens up prospects for the discussion of protection products</w:t>
      </w:r>
    </w:p>
    <w:p w14:paraId="6082D3DD" w14:textId="1AEC443B" w:rsidR="006639D8" w:rsidRDefault="00AD4E7F" w:rsidP="006639D8">
      <w:pPr>
        <w:widowControl w:val="0"/>
        <w:autoSpaceDE w:val="0"/>
        <w:autoSpaceDN w:val="0"/>
        <w:adjustRightInd w:val="0"/>
        <w:spacing w:after="240"/>
        <w:jc w:val="both"/>
        <w:rPr>
          <w:rFonts w:ascii="Helvetica" w:hAnsi="Helvetica" w:cs="Helvetica"/>
        </w:rPr>
      </w:pPr>
      <w:r>
        <w:rPr>
          <w:rFonts w:ascii="Helvetica" w:hAnsi="Helvetica" w:cs="Helvetica"/>
        </w:rPr>
        <w:t xml:space="preserve">3. </w:t>
      </w:r>
      <w:r w:rsidR="006639D8" w:rsidRPr="006639D8">
        <w:rPr>
          <w:rFonts w:ascii="Helvetica" w:hAnsi="Helvetica" w:cs="Helvetica"/>
        </w:rPr>
        <w:t>Notwithstanding the attraction of self insurance, the trend towards government pushing back responsibility for health management to employers (and individuals) will highlight the value of the risk management tools that come as part of the GIP proposition</w:t>
      </w:r>
    </w:p>
    <w:p w14:paraId="3CBF69AD" w14:textId="58C64BD0" w:rsidR="00AD4E7F" w:rsidRDefault="00AD4E7F" w:rsidP="006639D8">
      <w:pPr>
        <w:widowControl w:val="0"/>
        <w:autoSpaceDE w:val="0"/>
        <w:autoSpaceDN w:val="0"/>
        <w:adjustRightInd w:val="0"/>
        <w:spacing w:after="240"/>
        <w:jc w:val="both"/>
        <w:rPr>
          <w:rFonts w:ascii="Helvetica" w:hAnsi="Helvetica" w:cs="Helvetica"/>
        </w:rPr>
      </w:pPr>
      <w:r>
        <w:rPr>
          <w:rFonts w:ascii="Helvetica" w:hAnsi="Helvetica" w:cs="Helvetica"/>
        </w:rPr>
        <w:t>4. The election of a Conservative government means that the rollout of Universal Cre</w:t>
      </w:r>
      <w:r w:rsidR="003D6FC8">
        <w:rPr>
          <w:rFonts w:ascii="Helvetica" w:hAnsi="Helvetica" w:cs="Helvetica"/>
        </w:rPr>
        <w:t>dit will continue. This creates</w:t>
      </w:r>
      <w:r w:rsidR="0008250A">
        <w:rPr>
          <w:rFonts w:ascii="Helvetica" w:hAnsi="Helvetica" w:cs="Helvetica"/>
        </w:rPr>
        <w:t xml:space="preserve"> </w:t>
      </w:r>
      <w:r w:rsidR="00515A86">
        <w:rPr>
          <w:rFonts w:ascii="Helvetica" w:hAnsi="Helvetica" w:cs="Helvetica"/>
        </w:rPr>
        <w:t xml:space="preserve">opportunities </w:t>
      </w:r>
      <w:r>
        <w:rPr>
          <w:rFonts w:ascii="Helvetica" w:hAnsi="Helvetica" w:cs="Helvetica"/>
        </w:rPr>
        <w:t xml:space="preserve">for </w:t>
      </w:r>
      <w:r w:rsidR="00515A86">
        <w:rPr>
          <w:rFonts w:ascii="Helvetica" w:hAnsi="Helvetica" w:cs="Helvetica"/>
        </w:rPr>
        <w:t xml:space="preserve">the </w:t>
      </w:r>
      <w:r>
        <w:rPr>
          <w:rFonts w:ascii="Helvetica" w:hAnsi="Helvetica" w:cs="Helvetica"/>
        </w:rPr>
        <w:t xml:space="preserve">re-design of existing GIP schemes </w:t>
      </w:r>
      <w:r w:rsidR="00515A86">
        <w:rPr>
          <w:rFonts w:ascii="Helvetica" w:hAnsi="Helvetica" w:cs="Helvetica"/>
        </w:rPr>
        <w:t>(</w:t>
      </w:r>
      <w:r>
        <w:rPr>
          <w:rFonts w:ascii="Helvetica" w:hAnsi="Helvetica" w:cs="Helvetica"/>
        </w:rPr>
        <w:t>and possibly increasing employee pressure for better protection from their employer as the state retreats</w:t>
      </w:r>
      <w:r w:rsidR="00515A86">
        <w:rPr>
          <w:rFonts w:ascii="Helvetica" w:hAnsi="Helvetica" w:cs="Helvetica"/>
        </w:rPr>
        <w:t>)</w:t>
      </w:r>
    </w:p>
    <w:p w14:paraId="33476ECF" w14:textId="17AB5CE4" w:rsidR="003D1CB3" w:rsidRDefault="003D1CB3" w:rsidP="006639D8">
      <w:pPr>
        <w:widowControl w:val="0"/>
        <w:autoSpaceDE w:val="0"/>
        <w:autoSpaceDN w:val="0"/>
        <w:adjustRightInd w:val="0"/>
        <w:spacing w:after="240"/>
        <w:jc w:val="both"/>
        <w:rPr>
          <w:rFonts w:ascii="Helvetica" w:hAnsi="Helvetica" w:cs="Helvetica"/>
        </w:rPr>
      </w:pPr>
      <w:r>
        <w:rPr>
          <w:rFonts w:ascii="Helvetica" w:hAnsi="Helvetica" w:cs="Helvetica"/>
        </w:rPr>
        <w:t>5. An ageing workforce and a workforce expressing changing needs (such as concern regarding elder care) present opportunities for new products and services. Keeping employees fit and productive becomes more and more imp</w:t>
      </w:r>
      <w:r w:rsidR="003D6FC8">
        <w:rPr>
          <w:rFonts w:ascii="Helvetica" w:hAnsi="Helvetica" w:cs="Helvetica"/>
        </w:rPr>
        <w:t>ortant, offering the real possibility</w:t>
      </w:r>
      <w:r>
        <w:rPr>
          <w:rFonts w:ascii="Helvetica" w:hAnsi="Helvetica" w:cs="Helvetica"/>
        </w:rPr>
        <w:t xml:space="preserve"> of partnerships with providers rather than simply transactional insurance arrangements.</w:t>
      </w:r>
    </w:p>
    <w:p w14:paraId="25B132DF" w14:textId="02A6E6A2" w:rsidR="00AD4E7F" w:rsidRPr="006639D8" w:rsidRDefault="00AD4E7F" w:rsidP="006639D8">
      <w:pPr>
        <w:widowControl w:val="0"/>
        <w:autoSpaceDE w:val="0"/>
        <w:autoSpaceDN w:val="0"/>
        <w:adjustRightInd w:val="0"/>
        <w:spacing w:after="240"/>
        <w:jc w:val="both"/>
        <w:rPr>
          <w:rFonts w:ascii="Helvetica" w:hAnsi="Helvetica" w:cs="Helvetica"/>
        </w:rPr>
      </w:pPr>
    </w:p>
    <w:p w14:paraId="1606AB7D" w14:textId="77777777" w:rsidR="006639D8" w:rsidRDefault="006639D8" w:rsidP="006639D8">
      <w:pPr>
        <w:widowControl w:val="0"/>
        <w:autoSpaceDE w:val="0"/>
        <w:autoSpaceDN w:val="0"/>
        <w:adjustRightInd w:val="0"/>
        <w:spacing w:after="240"/>
        <w:jc w:val="both"/>
        <w:rPr>
          <w:rFonts w:ascii="Helvetica" w:hAnsi="Helvetica" w:cs="Helvetica"/>
        </w:rPr>
      </w:pPr>
    </w:p>
    <w:p w14:paraId="2724E43E" w14:textId="77777777" w:rsidR="005E5D90" w:rsidRDefault="005E5D90" w:rsidP="005E5D90">
      <w:pPr>
        <w:widowControl w:val="0"/>
        <w:autoSpaceDE w:val="0"/>
        <w:autoSpaceDN w:val="0"/>
        <w:adjustRightInd w:val="0"/>
        <w:spacing w:after="240"/>
        <w:jc w:val="both"/>
        <w:rPr>
          <w:rFonts w:ascii="Helvetica" w:hAnsi="Helvetica" w:cs="Helvetica"/>
        </w:rPr>
      </w:pPr>
    </w:p>
    <w:p w14:paraId="64792F55" w14:textId="77777777" w:rsidR="005E5D90" w:rsidRDefault="005E5D90" w:rsidP="005E5D90">
      <w:pPr>
        <w:widowControl w:val="0"/>
        <w:autoSpaceDE w:val="0"/>
        <w:autoSpaceDN w:val="0"/>
        <w:adjustRightInd w:val="0"/>
        <w:spacing w:after="240"/>
        <w:jc w:val="both"/>
        <w:rPr>
          <w:rFonts w:ascii="Helvetica" w:hAnsi="Helvetica" w:cs="Helvetica"/>
        </w:rPr>
      </w:pPr>
    </w:p>
    <w:p w14:paraId="1819CBBD" w14:textId="77777777" w:rsidR="005E5D90" w:rsidRDefault="005E5D90" w:rsidP="005E5D90">
      <w:pPr>
        <w:widowControl w:val="0"/>
        <w:autoSpaceDE w:val="0"/>
        <w:autoSpaceDN w:val="0"/>
        <w:adjustRightInd w:val="0"/>
        <w:spacing w:after="240"/>
        <w:jc w:val="both"/>
        <w:rPr>
          <w:rFonts w:ascii="Helvetica" w:hAnsi="Helvetica" w:cs="Helvetica"/>
        </w:rPr>
      </w:pPr>
    </w:p>
    <w:p w14:paraId="30A9CECE" w14:textId="77777777" w:rsidR="005E5D90" w:rsidRPr="005E5D90" w:rsidRDefault="005E5D90" w:rsidP="005E5D90">
      <w:pPr>
        <w:widowControl w:val="0"/>
        <w:autoSpaceDE w:val="0"/>
        <w:autoSpaceDN w:val="0"/>
        <w:adjustRightInd w:val="0"/>
        <w:spacing w:after="240"/>
        <w:jc w:val="both"/>
        <w:rPr>
          <w:rFonts w:ascii="Helvetica" w:hAnsi="Helvetica" w:cs="Helvetica"/>
        </w:rPr>
      </w:pPr>
    </w:p>
    <w:p w14:paraId="3F86F59D" w14:textId="77777777" w:rsidR="005E5D90" w:rsidRPr="00C87AF3" w:rsidRDefault="005E5D90" w:rsidP="00D11DD2">
      <w:pPr>
        <w:widowControl w:val="0"/>
        <w:autoSpaceDE w:val="0"/>
        <w:autoSpaceDN w:val="0"/>
        <w:adjustRightInd w:val="0"/>
        <w:spacing w:after="240"/>
        <w:jc w:val="both"/>
        <w:rPr>
          <w:rFonts w:ascii="Arial" w:hAnsi="Arial" w:cs="Arial"/>
        </w:rPr>
      </w:pPr>
    </w:p>
    <w:sectPr w:rsidR="005E5D90" w:rsidRPr="00C87AF3" w:rsidSect="003F21ED">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F743" w14:textId="77777777" w:rsidR="00502789" w:rsidRDefault="00502789" w:rsidP="00994614">
      <w:r>
        <w:separator/>
      </w:r>
    </w:p>
  </w:endnote>
  <w:endnote w:type="continuationSeparator" w:id="0">
    <w:p w14:paraId="5B8AB7A1" w14:textId="77777777" w:rsidR="00502789" w:rsidRDefault="00502789" w:rsidP="009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8F96" w14:textId="77777777" w:rsidR="00502789" w:rsidRDefault="00502789" w:rsidP="00994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02277" w14:textId="77777777" w:rsidR="00502789" w:rsidRDefault="005027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B0B" w14:textId="77777777" w:rsidR="00502789" w:rsidRDefault="00502789" w:rsidP="00994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AEC">
      <w:rPr>
        <w:rStyle w:val="PageNumber"/>
        <w:noProof/>
      </w:rPr>
      <w:t>2</w:t>
    </w:r>
    <w:r>
      <w:rPr>
        <w:rStyle w:val="PageNumber"/>
      </w:rPr>
      <w:fldChar w:fldCharType="end"/>
    </w:r>
  </w:p>
  <w:p w14:paraId="31290D0A" w14:textId="77777777" w:rsidR="00502789" w:rsidRDefault="005027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AD56B" w14:textId="77777777" w:rsidR="00502789" w:rsidRDefault="00502789" w:rsidP="00994614">
      <w:r>
        <w:separator/>
      </w:r>
    </w:p>
  </w:footnote>
  <w:footnote w:type="continuationSeparator" w:id="0">
    <w:p w14:paraId="05B86CEE" w14:textId="77777777" w:rsidR="00502789" w:rsidRDefault="00502789" w:rsidP="00994614">
      <w:r>
        <w:continuationSeparator/>
      </w:r>
    </w:p>
  </w:footnote>
  <w:footnote w:id="1">
    <w:p w14:paraId="52CC30EA" w14:textId="77777777" w:rsidR="00502789" w:rsidRDefault="00502789">
      <w:pPr>
        <w:pStyle w:val="FootnoteText"/>
      </w:pPr>
      <w:r>
        <w:rPr>
          <w:rStyle w:val="FootnoteReference"/>
        </w:rPr>
        <w:footnoteRef/>
      </w:r>
      <w:r>
        <w:t xml:space="preserve"> Rhodes, C ‘Business</w:t>
      </w:r>
      <w:r w:rsidRPr="008109F1">
        <w:rPr>
          <w:i/>
        </w:rPr>
        <w:t xml:space="preserve"> Statistics – Economic Policy and Statistics’</w:t>
      </w:r>
      <w:r>
        <w:t xml:space="preserve"> House of Commons Library. Standard Note number SN/EP/6152 [November 2014]</w:t>
      </w:r>
    </w:p>
  </w:footnote>
  <w:footnote w:id="2">
    <w:p w14:paraId="7E7D548D" w14:textId="77777777" w:rsidR="00502789" w:rsidRDefault="00502789">
      <w:pPr>
        <w:pStyle w:val="FootnoteText"/>
      </w:pPr>
      <w:r>
        <w:rPr>
          <w:rStyle w:val="FootnoteReference"/>
        </w:rPr>
        <w:footnoteRef/>
      </w:r>
      <w:r>
        <w:t xml:space="preserve"> Text widely drawn from the Chartered Institute of Personnel and Development </w:t>
      </w:r>
      <w:r w:rsidRPr="005E011F">
        <w:rPr>
          <w:i/>
        </w:rPr>
        <w:t>Online Factsheets</w:t>
      </w:r>
    </w:p>
  </w:footnote>
  <w:footnote w:id="3">
    <w:p w14:paraId="2921935E" w14:textId="77777777" w:rsidR="00502789" w:rsidRDefault="00502789">
      <w:pPr>
        <w:pStyle w:val="FootnoteText"/>
      </w:pPr>
      <w:r>
        <w:rPr>
          <w:rStyle w:val="FootnoteReference"/>
        </w:rPr>
        <w:footnoteRef/>
      </w:r>
      <w:r>
        <w:t xml:space="preserve"> ibid</w:t>
      </w:r>
    </w:p>
  </w:footnote>
  <w:footnote w:id="4">
    <w:p w14:paraId="081F5797" w14:textId="77777777" w:rsidR="00502789" w:rsidRDefault="00502789">
      <w:pPr>
        <w:pStyle w:val="FootnoteText"/>
      </w:pPr>
      <w:r>
        <w:rPr>
          <w:rStyle w:val="FootnoteReference"/>
        </w:rPr>
        <w:footnoteRef/>
      </w:r>
      <w:r>
        <w:t xml:space="preserve"> Neale, I ‘Complification (sic) of Pensions legislation – a timeline’ </w:t>
      </w:r>
      <w:r w:rsidRPr="008109F1">
        <w:rPr>
          <w:i/>
        </w:rPr>
        <w:t xml:space="preserve">PMI Technical News </w:t>
      </w:r>
      <w:r>
        <w:t>[March 2015]</w:t>
      </w:r>
    </w:p>
  </w:footnote>
  <w:footnote w:id="5">
    <w:p w14:paraId="356FF88C" w14:textId="77777777" w:rsidR="00502789" w:rsidRDefault="00502789">
      <w:pPr>
        <w:pStyle w:val="FootnoteText"/>
      </w:pPr>
      <w:r>
        <w:rPr>
          <w:rStyle w:val="FootnoteReference"/>
        </w:rPr>
        <w:footnoteRef/>
      </w:r>
      <w:r>
        <w:t xml:space="preserve"> Tuck, N ‘Regulator warns smaller employers to prepare for automatic enrolment duties’ </w:t>
      </w:r>
      <w:r w:rsidRPr="0001604D">
        <w:rPr>
          <w:i/>
        </w:rPr>
        <w:t>Pensions Age</w:t>
      </w:r>
      <w:r>
        <w:t xml:space="preserve"> [April 2015]</w:t>
      </w:r>
    </w:p>
  </w:footnote>
  <w:footnote w:id="6">
    <w:p w14:paraId="239EF1A5" w14:textId="77777777" w:rsidR="00502789" w:rsidRDefault="00502789">
      <w:pPr>
        <w:pStyle w:val="FootnoteText"/>
      </w:pPr>
      <w:r>
        <w:rPr>
          <w:rStyle w:val="FootnoteReference"/>
        </w:rPr>
        <w:footnoteRef/>
      </w:r>
      <w:r>
        <w:t xml:space="preserve"> Barton, T ‘What is the future for flexible benefits?’ </w:t>
      </w:r>
      <w:r w:rsidRPr="00D444DE">
        <w:rPr>
          <w:i/>
        </w:rPr>
        <w:t>Employee Benefits Magazine</w:t>
      </w:r>
      <w:r>
        <w:t xml:space="preserve"> [11 April 2013]</w:t>
      </w:r>
    </w:p>
  </w:footnote>
  <w:footnote w:id="7">
    <w:p w14:paraId="37600EAE" w14:textId="55CD1248" w:rsidR="00502789" w:rsidRDefault="00502789">
      <w:pPr>
        <w:pStyle w:val="FootnoteText"/>
      </w:pPr>
      <w:r>
        <w:rPr>
          <w:rStyle w:val="FootnoteReference"/>
        </w:rPr>
        <w:footnoteRef/>
      </w:r>
      <w:r>
        <w:t xml:space="preserve"> Ibid</w:t>
      </w:r>
    </w:p>
  </w:footnote>
  <w:footnote w:id="8">
    <w:p w14:paraId="23A9182A" w14:textId="286B6764" w:rsidR="00502789" w:rsidRDefault="00502789">
      <w:pPr>
        <w:pStyle w:val="FootnoteText"/>
      </w:pPr>
      <w:r>
        <w:rPr>
          <w:rStyle w:val="FootnoteReference"/>
        </w:rPr>
        <w:footnoteRef/>
      </w:r>
      <w:r>
        <w:t xml:space="preserve"> Crawford, R ‘81% Offer some form of flexible benefits’. </w:t>
      </w:r>
      <w:r w:rsidRPr="003E2F8A">
        <w:rPr>
          <w:i/>
        </w:rPr>
        <w:t xml:space="preserve">Employee Benefits Magazine </w:t>
      </w:r>
      <w:r>
        <w:t>[7 October 2014]</w:t>
      </w:r>
    </w:p>
  </w:footnote>
  <w:footnote w:id="9">
    <w:p w14:paraId="7B94D630" w14:textId="01990248" w:rsidR="00502789" w:rsidRDefault="00502789">
      <w:pPr>
        <w:pStyle w:val="FootnoteText"/>
      </w:pPr>
      <w:r>
        <w:rPr>
          <w:rStyle w:val="FootnoteReference"/>
        </w:rPr>
        <w:footnoteRef/>
      </w:r>
      <w:r>
        <w:t xml:space="preserve"> Barton, T ‘What is the future for flexible benefits?’ </w:t>
      </w:r>
      <w:r w:rsidRPr="00C501D2">
        <w:rPr>
          <w:i/>
        </w:rPr>
        <w:t>Employee benefits Magazine</w:t>
      </w:r>
      <w:r>
        <w:t xml:space="preserve"> [11 April 2013]</w:t>
      </w:r>
    </w:p>
  </w:footnote>
  <w:footnote w:id="10">
    <w:p w14:paraId="2910D934" w14:textId="77777777" w:rsidR="00502789" w:rsidRDefault="00502789">
      <w:pPr>
        <w:pStyle w:val="FootnoteText"/>
      </w:pPr>
      <w:r>
        <w:rPr>
          <w:rStyle w:val="FootnoteReference"/>
        </w:rPr>
        <w:footnoteRef/>
      </w:r>
      <w:r>
        <w:t xml:space="preserve"> Crush, P ‘Valuable perks can boost morale and keep staff committed’ </w:t>
      </w:r>
      <w:r w:rsidRPr="005E011F">
        <w:rPr>
          <w:i/>
        </w:rPr>
        <w:t xml:space="preserve">Employee Engagement and Benefits – Evening Standard </w:t>
      </w:r>
      <w:r>
        <w:t>[23 March 2015]</w:t>
      </w:r>
    </w:p>
  </w:footnote>
  <w:footnote w:id="11">
    <w:p w14:paraId="0669607C" w14:textId="77777777" w:rsidR="00502789" w:rsidRDefault="00502789">
      <w:pPr>
        <w:pStyle w:val="FootnoteText"/>
      </w:pPr>
      <w:r>
        <w:rPr>
          <w:rStyle w:val="FootnoteReference"/>
        </w:rPr>
        <w:footnoteRef/>
      </w:r>
      <w:r>
        <w:t xml:space="preserve"> Tirbutt, E ‘Managing Mental Health’ </w:t>
      </w:r>
      <w:r w:rsidRPr="003F7E52">
        <w:rPr>
          <w:i/>
        </w:rPr>
        <w:t>Corporate Adviser</w:t>
      </w:r>
      <w:r>
        <w:t xml:space="preserve"> January/February 2015</w:t>
      </w:r>
    </w:p>
  </w:footnote>
  <w:footnote w:id="12">
    <w:p w14:paraId="13A71831" w14:textId="77777777" w:rsidR="00502789" w:rsidRDefault="00502789">
      <w:pPr>
        <w:pStyle w:val="FootnoteText"/>
      </w:pPr>
      <w:r>
        <w:rPr>
          <w:rStyle w:val="FootnoteReference"/>
        </w:rPr>
        <w:footnoteRef/>
      </w:r>
      <w:r>
        <w:t xml:space="preserve"> ‘Young and workless’ </w:t>
      </w:r>
      <w:r>
        <w:rPr>
          <w:i/>
        </w:rPr>
        <w:t>Economist.</w:t>
      </w:r>
      <w:r>
        <w:t xml:space="preserve"> [11 April 2015]</w:t>
      </w:r>
      <w:r>
        <w:rPr>
          <w:i/>
        </w:rPr>
        <w:t xml:space="preserve"> </w:t>
      </w:r>
    </w:p>
  </w:footnote>
  <w:footnote w:id="13">
    <w:p w14:paraId="2D56DCF5" w14:textId="39370348" w:rsidR="00502789" w:rsidRDefault="00502789">
      <w:pPr>
        <w:pStyle w:val="FootnoteText"/>
      </w:pPr>
      <w:r>
        <w:rPr>
          <w:rStyle w:val="FootnoteReference"/>
        </w:rPr>
        <w:footnoteRef/>
      </w:r>
      <w:r>
        <w:t xml:space="preserve"> Moxham. K GRiD </w:t>
      </w:r>
      <w:r w:rsidRPr="001524EB">
        <w:rPr>
          <w:i/>
        </w:rPr>
        <w:t>Research Press Release</w:t>
      </w:r>
      <w:r>
        <w:t xml:space="preserve"> [2014]</w:t>
      </w:r>
    </w:p>
  </w:footnote>
  <w:footnote w:id="14">
    <w:p w14:paraId="7A8F05B4" w14:textId="77777777" w:rsidR="00502789" w:rsidRDefault="00502789" w:rsidP="00C501D2">
      <w:pPr>
        <w:pStyle w:val="FootnoteText"/>
      </w:pPr>
      <w:r>
        <w:rPr>
          <w:rStyle w:val="FootnoteReference"/>
        </w:rPr>
        <w:footnoteRef/>
      </w:r>
      <w:r>
        <w:t xml:space="preserve"> Anderson, J ‘Implications of an ageing workforce on benefit design’ </w:t>
      </w:r>
      <w:r w:rsidRPr="008109F1">
        <w:rPr>
          <w:i/>
        </w:rPr>
        <w:t xml:space="preserve">Towers Watson </w:t>
      </w:r>
      <w:r>
        <w:t>[July 2014]</w:t>
      </w:r>
    </w:p>
    <w:p w14:paraId="705356AF" w14:textId="298584CE" w:rsidR="00502789" w:rsidRDefault="00502789">
      <w:pPr>
        <w:pStyle w:val="FootnoteText"/>
      </w:pPr>
    </w:p>
  </w:footnote>
  <w:footnote w:id="15">
    <w:p w14:paraId="695C99ED" w14:textId="5BDACE0A" w:rsidR="00502789" w:rsidRDefault="00502789">
      <w:pPr>
        <w:pStyle w:val="FootnoteText"/>
      </w:pPr>
      <w:r>
        <w:rPr>
          <w:rStyle w:val="FootnoteReference"/>
        </w:rPr>
        <w:footnoteRef/>
      </w:r>
      <w:r>
        <w:t xml:space="preserve"> Ibid</w:t>
      </w:r>
    </w:p>
  </w:footnote>
  <w:footnote w:id="16">
    <w:p w14:paraId="0C57CA8C" w14:textId="56CE3D02" w:rsidR="00502789" w:rsidRDefault="00502789">
      <w:pPr>
        <w:pStyle w:val="FootnoteText"/>
      </w:pPr>
      <w:r>
        <w:rPr>
          <w:rStyle w:val="FootnoteReference"/>
        </w:rPr>
        <w:footnoteRef/>
      </w:r>
      <w:r>
        <w:t xml:space="preserve"> Ibid</w:t>
      </w:r>
    </w:p>
  </w:footnote>
  <w:footnote w:id="17">
    <w:p w14:paraId="1F021FEC" w14:textId="77777777" w:rsidR="00502789" w:rsidRDefault="00502789">
      <w:pPr>
        <w:pStyle w:val="FootnoteText"/>
      </w:pPr>
      <w:r>
        <w:rPr>
          <w:rStyle w:val="FootnoteReference"/>
        </w:rPr>
        <w:footnoteRef/>
      </w:r>
      <w:r>
        <w:t xml:space="preserve"> ‘Megatrends – has job turnover slowed down?’ </w:t>
      </w:r>
      <w:r>
        <w:rPr>
          <w:i/>
        </w:rPr>
        <w:t>Chartered Institute of Personnel and Development</w:t>
      </w:r>
      <w:r w:rsidRPr="0001604D">
        <w:rPr>
          <w:i/>
        </w:rPr>
        <w:t xml:space="preserve"> 2013</w:t>
      </w:r>
      <w:r>
        <w:t xml:space="preserve"> and ‘Average Employment tenure 1992 and 2002’ </w:t>
      </w:r>
      <w:r w:rsidRPr="0001604D">
        <w:rPr>
          <w:i/>
        </w:rPr>
        <w:t>Based on Eurostat. ILO: EMP/Analysis, June 2003</w:t>
      </w:r>
    </w:p>
  </w:footnote>
  <w:footnote w:id="18">
    <w:p w14:paraId="2F8F6A04" w14:textId="0D183C6C" w:rsidR="00502789" w:rsidRDefault="00502789">
      <w:pPr>
        <w:pStyle w:val="FootnoteText"/>
      </w:pPr>
      <w:r>
        <w:rPr>
          <w:rStyle w:val="FootnoteReference"/>
        </w:rPr>
        <w:footnoteRef/>
      </w:r>
      <w:r>
        <w:t xml:space="preserve"> ‘No job for life’. </w:t>
      </w:r>
      <w:r w:rsidRPr="003D6FC8">
        <w:rPr>
          <w:i/>
        </w:rPr>
        <w:t>Economist online</w:t>
      </w:r>
      <w:r>
        <w:t xml:space="preserve"> [10 October 2007] and US Department of Labor, Bureau of Labor Statistics </w:t>
      </w:r>
      <w:r w:rsidRPr="00E63ACA">
        <w:rPr>
          <w:i/>
        </w:rPr>
        <w:t>Employee Tenure Summary</w:t>
      </w:r>
      <w:r>
        <w:t xml:space="preserve"> 18 September 2014</w:t>
      </w:r>
    </w:p>
  </w:footnote>
  <w:footnote w:id="19">
    <w:p w14:paraId="2BE2E7A8" w14:textId="77777777" w:rsidR="00502789" w:rsidRDefault="00502789">
      <w:pPr>
        <w:pStyle w:val="FootnoteText"/>
      </w:pPr>
      <w:r>
        <w:rPr>
          <w:rStyle w:val="FootnoteReference"/>
        </w:rPr>
        <w:footnoteRef/>
      </w:r>
      <w:r>
        <w:t xml:space="preserve"> Dellot, B ‘Out of office – more and more people are working for themselves, but are they choosing to leap or are they being pushed?’ [2014] </w:t>
      </w:r>
      <w:r w:rsidRPr="00785392">
        <w:rPr>
          <w:i/>
        </w:rPr>
        <w:t>RSA Journal</w:t>
      </w:r>
      <w:r>
        <w:t xml:space="preserve"> Issue 3 21-23</w:t>
      </w:r>
    </w:p>
  </w:footnote>
  <w:footnote w:id="20">
    <w:p w14:paraId="5684859E" w14:textId="3BAB50C0" w:rsidR="00502789" w:rsidRDefault="00502789">
      <w:pPr>
        <w:pStyle w:val="FootnoteText"/>
      </w:pPr>
      <w:r>
        <w:rPr>
          <w:rStyle w:val="FootnoteReference"/>
        </w:rPr>
        <w:footnoteRef/>
      </w:r>
      <w:r>
        <w:t xml:space="preserve"> Wind-Cowie, M ‘Of mutual benefit- personalised welfare for the many’ </w:t>
      </w:r>
      <w:r w:rsidRPr="00E63ACA">
        <w:rPr>
          <w:i/>
        </w:rPr>
        <w:t>Demos</w:t>
      </w:r>
      <w:r>
        <w:t xml:space="preserve"> [2001]</w:t>
      </w:r>
    </w:p>
  </w:footnote>
  <w:footnote w:id="21">
    <w:p w14:paraId="3ADDE775" w14:textId="77777777" w:rsidR="00502789" w:rsidRDefault="00502789">
      <w:pPr>
        <w:pStyle w:val="FootnoteText"/>
      </w:pPr>
      <w:r>
        <w:rPr>
          <w:rStyle w:val="FootnoteReference"/>
        </w:rPr>
        <w:footnoteRef/>
      </w:r>
      <w:r>
        <w:t xml:space="preserve"> Sparks, A ‘How can we avoid a stale group performance?’ </w:t>
      </w:r>
      <w:r w:rsidRPr="008109F1">
        <w:rPr>
          <w:i/>
        </w:rPr>
        <w:t>Cover Magazine</w:t>
      </w:r>
      <w:r>
        <w:t xml:space="preserve"> [May 2015]</w:t>
      </w:r>
    </w:p>
  </w:footnote>
  <w:footnote w:id="22">
    <w:p w14:paraId="1BC2233E" w14:textId="31B3C697" w:rsidR="00502789" w:rsidRDefault="00502789">
      <w:pPr>
        <w:pStyle w:val="FootnoteText"/>
      </w:pPr>
      <w:r>
        <w:rPr>
          <w:rStyle w:val="FootnoteReference"/>
        </w:rPr>
        <w:footnoteRef/>
      </w:r>
      <w:r>
        <w:t xml:space="preserve"> Swiss Re ‘Group Watch’</w:t>
      </w:r>
    </w:p>
  </w:footnote>
  <w:footnote w:id="23">
    <w:p w14:paraId="1639A661" w14:textId="700B2427" w:rsidR="00502789" w:rsidRDefault="00502789">
      <w:pPr>
        <w:pStyle w:val="FootnoteText"/>
      </w:pPr>
      <w:r>
        <w:rPr>
          <w:rStyle w:val="FootnoteReference"/>
        </w:rPr>
        <w:footnoteRef/>
      </w:r>
      <w:r>
        <w:t xml:space="preserve"> Ibid</w:t>
      </w:r>
    </w:p>
  </w:footnote>
  <w:footnote w:id="24">
    <w:p w14:paraId="6E053BA8" w14:textId="77777777" w:rsidR="00502789" w:rsidRDefault="00502789">
      <w:pPr>
        <w:pStyle w:val="FootnoteText"/>
      </w:pPr>
      <w:r>
        <w:rPr>
          <w:rStyle w:val="FootnoteReference"/>
        </w:rPr>
        <w:footnoteRef/>
      </w:r>
      <w:r>
        <w:t xml:space="preserve"> </w:t>
      </w:r>
      <w:r w:rsidRPr="0001604D">
        <w:rPr>
          <w:i/>
        </w:rPr>
        <w:t>Laing &amp; Buisson Health Cover Market Reports</w:t>
      </w:r>
      <w:r>
        <w:t xml:space="preserve"> cited in </w:t>
      </w:r>
      <w:r w:rsidRPr="0001604D">
        <w:rPr>
          <w:i/>
        </w:rPr>
        <w:t xml:space="preserve">‘Health Insurance &amp; Protection – Market Intelligence’ </w:t>
      </w:r>
      <w:r>
        <w:t>2013</w:t>
      </w:r>
    </w:p>
  </w:footnote>
  <w:footnote w:id="25">
    <w:p w14:paraId="59CE9929" w14:textId="77777777" w:rsidR="00502789" w:rsidRDefault="00502789">
      <w:pPr>
        <w:pStyle w:val="FootnoteText"/>
      </w:pPr>
      <w:r>
        <w:rPr>
          <w:rStyle w:val="FootnoteReference"/>
        </w:rPr>
        <w:footnoteRef/>
      </w:r>
      <w:r>
        <w:t xml:space="preserve"> </w:t>
      </w:r>
      <w:r w:rsidRPr="008109F1">
        <w:rPr>
          <w:i/>
        </w:rPr>
        <w:t>Health Cover UK Market Report 2014/15</w:t>
      </w:r>
      <w:r>
        <w:t xml:space="preserve"> Laing &amp; Buisson (27</w:t>
      </w:r>
      <w:r w:rsidRPr="008109F1">
        <w:rPr>
          <w:vertAlign w:val="superscript"/>
        </w:rPr>
        <w:t>th</w:t>
      </w:r>
      <w:r>
        <w:t xml:space="preserve"> Edition) [February 2015]</w:t>
      </w:r>
    </w:p>
  </w:footnote>
  <w:footnote w:id="26">
    <w:p w14:paraId="65D6A0EB" w14:textId="77777777" w:rsidR="00502789" w:rsidRDefault="00502789">
      <w:pPr>
        <w:pStyle w:val="FootnoteText"/>
      </w:pPr>
      <w:r>
        <w:rPr>
          <w:rStyle w:val="FootnoteReference"/>
        </w:rPr>
        <w:footnoteRef/>
      </w:r>
      <w:r>
        <w:t xml:space="preserve"> Swiss Re </w:t>
      </w:r>
      <w:r w:rsidRPr="0001604D">
        <w:rPr>
          <w:i/>
        </w:rPr>
        <w:t>‘Term and Health Watch 2014’</w:t>
      </w:r>
    </w:p>
  </w:footnote>
  <w:footnote w:id="27">
    <w:p w14:paraId="75E84E34" w14:textId="77777777" w:rsidR="00502789" w:rsidRDefault="00502789">
      <w:pPr>
        <w:pStyle w:val="FootnoteText"/>
      </w:pPr>
      <w:r>
        <w:rPr>
          <w:rStyle w:val="FootnoteReference"/>
        </w:rPr>
        <w:footnoteRef/>
      </w:r>
      <w:r>
        <w:t xml:space="preserve"> </w:t>
      </w:r>
      <w:r w:rsidRPr="0001604D">
        <w:rPr>
          <w:i/>
        </w:rPr>
        <w:t>Laing &amp; Buisson Health Cover Market Reports</w:t>
      </w:r>
      <w:r>
        <w:t xml:space="preserve"> cited in </w:t>
      </w:r>
      <w:r w:rsidRPr="0001604D">
        <w:rPr>
          <w:i/>
        </w:rPr>
        <w:t xml:space="preserve">‘Health Insurance &amp; Protection – Market Intelligence’ </w:t>
      </w:r>
      <w:r>
        <w:t>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6E1"/>
    <w:multiLevelType w:val="hybridMultilevel"/>
    <w:tmpl w:val="9EC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5A9A"/>
    <w:multiLevelType w:val="hybridMultilevel"/>
    <w:tmpl w:val="1640FC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E209B"/>
    <w:multiLevelType w:val="hybridMultilevel"/>
    <w:tmpl w:val="0BCAA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B6C6E"/>
    <w:multiLevelType w:val="hybridMultilevel"/>
    <w:tmpl w:val="24229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9431F"/>
    <w:multiLevelType w:val="hybridMultilevel"/>
    <w:tmpl w:val="5F2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B64CE"/>
    <w:multiLevelType w:val="hybridMultilevel"/>
    <w:tmpl w:val="1AA2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D522E"/>
    <w:multiLevelType w:val="hybridMultilevel"/>
    <w:tmpl w:val="5F84D4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5715F"/>
    <w:multiLevelType w:val="hybridMultilevel"/>
    <w:tmpl w:val="35F2E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72CC8"/>
    <w:multiLevelType w:val="multilevel"/>
    <w:tmpl w:val="4A6EDE9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F743F7"/>
    <w:multiLevelType w:val="hybridMultilevel"/>
    <w:tmpl w:val="5CF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7EEB"/>
    <w:multiLevelType w:val="hybridMultilevel"/>
    <w:tmpl w:val="A494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042BD"/>
    <w:multiLevelType w:val="hybridMultilevel"/>
    <w:tmpl w:val="BCFC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36031"/>
    <w:multiLevelType w:val="hybridMultilevel"/>
    <w:tmpl w:val="86E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D318A"/>
    <w:multiLevelType w:val="hybridMultilevel"/>
    <w:tmpl w:val="8164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6422B"/>
    <w:multiLevelType w:val="hybridMultilevel"/>
    <w:tmpl w:val="5950E7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170FA5"/>
    <w:multiLevelType w:val="hybridMultilevel"/>
    <w:tmpl w:val="D76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2"/>
  </w:num>
  <w:num w:numId="5">
    <w:abstractNumId w:val="15"/>
  </w:num>
  <w:num w:numId="6">
    <w:abstractNumId w:val="13"/>
  </w:num>
  <w:num w:numId="7">
    <w:abstractNumId w:val="14"/>
  </w:num>
  <w:num w:numId="8">
    <w:abstractNumId w:val="9"/>
  </w:num>
  <w:num w:numId="9">
    <w:abstractNumId w:val="5"/>
  </w:num>
  <w:num w:numId="10">
    <w:abstractNumId w:val="6"/>
  </w:num>
  <w:num w:numId="11">
    <w:abstractNumId w:val="7"/>
  </w:num>
  <w:num w:numId="12">
    <w:abstractNumId w:val="1"/>
  </w:num>
  <w:num w:numId="13">
    <w:abstractNumId w:val="2"/>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40"/>
    <w:rsid w:val="0001604D"/>
    <w:rsid w:val="00021FC7"/>
    <w:rsid w:val="00031EB4"/>
    <w:rsid w:val="00046235"/>
    <w:rsid w:val="00061929"/>
    <w:rsid w:val="0008197D"/>
    <w:rsid w:val="0008250A"/>
    <w:rsid w:val="000841F7"/>
    <w:rsid w:val="0009460C"/>
    <w:rsid w:val="000B7EDE"/>
    <w:rsid w:val="000D16C9"/>
    <w:rsid w:val="000E1DFB"/>
    <w:rsid w:val="001264CC"/>
    <w:rsid w:val="00135715"/>
    <w:rsid w:val="00137C7F"/>
    <w:rsid w:val="001524EB"/>
    <w:rsid w:val="001607D0"/>
    <w:rsid w:val="00160D40"/>
    <w:rsid w:val="00166A0E"/>
    <w:rsid w:val="001774E9"/>
    <w:rsid w:val="001A5163"/>
    <w:rsid w:val="001B2AEC"/>
    <w:rsid w:val="001D3D74"/>
    <w:rsid w:val="001D5AB8"/>
    <w:rsid w:val="00210BDD"/>
    <w:rsid w:val="00212AE9"/>
    <w:rsid w:val="00250878"/>
    <w:rsid w:val="00253B1D"/>
    <w:rsid w:val="00275250"/>
    <w:rsid w:val="00297541"/>
    <w:rsid w:val="002A21A4"/>
    <w:rsid w:val="002A60DE"/>
    <w:rsid w:val="002B2754"/>
    <w:rsid w:val="002C108C"/>
    <w:rsid w:val="002E1014"/>
    <w:rsid w:val="002F336D"/>
    <w:rsid w:val="00315F5B"/>
    <w:rsid w:val="00327B9E"/>
    <w:rsid w:val="00340413"/>
    <w:rsid w:val="00350C09"/>
    <w:rsid w:val="00352B15"/>
    <w:rsid w:val="00382E95"/>
    <w:rsid w:val="00396DDD"/>
    <w:rsid w:val="003A05F7"/>
    <w:rsid w:val="003D1CB3"/>
    <w:rsid w:val="003D2F00"/>
    <w:rsid w:val="003D6FC8"/>
    <w:rsid w:val="003E2F8A"/>
    <w:rsid w:val="003F21ED"/>
    <w:rsid w:val="003F7E52"/>
    <w:rsid w:val="00407C30"/>
    <w:rsid w:val="004228EE"/>
    <w:rsid w:val="0046668A"/>
    <w:rsid w:val="00471AEA"/>
    <w:rsid w:val="004A246C"/>
    <w:rsid w:val="004C1ED6"/>
    <w:rsid w:val="004D6662"/>
    <w:rsid w:val="00502789"/>
    <w:rsid w:val="00515A86"/>
    <w:rsid w:val="005625E2"/>
    <w:rsid w:val="005A65CE"/>
    <w:rsid w:val="005E011F"/>
    <w:rsid w:val="005E06EE"/>
    <w:rsid w:val="005E2EB2"/>
    <w:rsid w:val="005E5D90"/>
    <w:rsid w:val="00606A4A"/>
    <w:rsid w:val="00617350"/>
    <w:rsid w:val="00620444"/>
    <w:rsid w:val="00625B6A"/>
    <w:rsid w:val="00634F1E"/>
    <w:rsid w:val="006639D8"/>
    <w:rsid w:val="00673D3E"/>
    <w:rsid w:val="006825DE"/>
    <w:rsid w:val="00694D68"/>
    <w:rsid w:val="00695B2B"/>
    <w:rsid w:val="006D55E8"/>
    <w:rsid w:val="006D56AC"/>
    <w:rsid w:val="006E3743"/>
    <w:rsid w:val="006E4AF1"/>
    <w:rsid w:val="00750107"/>
    <w:rsid w:val="00785392"/>
    <w:rsid w:val="00794B4E"/>
    <w:rsid w:val="007C1215"/>
    <w:rsid w:val="00804EA6"/>
    <w:rsid w:val="0080733C"/>
    <w:rsid w:val="008109F1"/>
    <w:rsid w:val="008240D5"/>
    <w:rsid w:val="00864B14"/>
    <w:rsid w:val="00866F83"/>
    <w:rsid w:val="0087414B"/>
    <w:rsid w:val="00882A1E"/>
    <w:rsid w:val="008A4769"/>
    <w:rsid w:val="008B060C"/>
    <w:rsid w:val="008E062E"/>
    <w:rsid w:val="009406CD"/>
    <w:rsid w:val="00944ED6"/>
    <w:rsid w:val="00951827"/>
    <w:rsid w:val="00973C06"/>
    <w:rsid w:val="00983808"/>
    <w:rsid w:val="009920C2"/>
    <w:rsid w:val="00994614"/>
    <w:rsid w:val="009A093B"/>
    <w:rsid w:val="009B4B0D"/>
    <w:rsid w:val="009C763D"/>
    <w:rsid w:val="009D5F1B"/>
    <w:rsid w:val="009D6164"/>
    <w:rsid w:val="009F5239"/>
    <w:rsid w:val="00A20429"/>
    <w:rsid w:val="00A22736"/>
    <w:rsid w:val="00A67283"/>
    <w:rsid w:val="00A871F6"/>
    <w:rsid w:val="00AA508E"/>
    <w:rsid w:val="00AB23CD"/>
    <w:rsid w:val="00AD1C27"/>
    <w:rsid w:val="00AD2737"/>
    <w:rsid w:val="00AD4E7F"/>
    <w:rsid w:val="00AD6490"/>
    <w:rsid w:val="00AE0C2D"/>
    <w:rsid w:val="00AE3462"/>
    <w:rsid w:val="00AE5510"/>
    <w:rsid w:val="00AE5ED5"/>
    <w:rsid w:val="00B06C60"/>
    <w:rsid w:val="00B20270"/>
    <w:rsid w:val="00B27493"/>
    <w:rsid w:val="00B35908"/>
    <w:rsid w:val="00B60BFD"/>
    <w:rsid w:val="00B60C8A"/>
    <w:rsid w:val="00B64569"/>
    <w:rsid w:val="00B64A1D"/>
    <w:rsid w:val="00B67945"/>
    <w:rsid w:val="00B83C97"/>
    <w:rsid w:val="00BA1E62"/>
    <w:rsid w:val="00BA5A2B"/>
    <w:rsid w:val="00BB589F"/>
    <w:rsid w:val="00BC2BFC"/>
    <w:rsid w:val="00BC47A6"/>
    <w:rsid w:val="00BD2C1B"/>
    <w:rsid w:val="00BE3FE6"/>
    <w:rsid w:val="00C0701D"/>
    <w:rsid w:val="00C26D41"/>
    <w:rsid w:val="00C33CF3"/>
    <w:rsid w:val="00C42A0E"/>
    <w:rsid w:val="00C501D2"/>
    <w:rsid w:val="00C51CA0"/>
    <w:rsid w:val="00C53CBB"/>
    <w:rsid w:val="00C54B18"/>
    <w:rsid w:val="00C61D00"/>
    <w:rsid w:val="00C67301"/>
    <w:rsid w:val="00C86E12"/>
    <w:rsid w:val="00C87AF3"/>
    <w:rsid w:val="00C90A05"/>
    <w:rsid w:val="00CA4DAC"/>
    <w:rsid w:val="00CA5178"/>
    <w:rsid w:val="00CC77DA"/>
    <w:rsid w:val="00D02314"/>
    <w:rsid w:val="00D03650"/>
    <w:rsid w:val="00D11DD2"/>
    <w:rsid w:val="00D20E16"/>
    <w:rsid w:val="00D21FDA"/>
    <w:rsid w:val="00D31233"/>
    <w:rsid w:val="00D31C27"/>
    <w:rsid w:val="00D34618"/>
    <w:rsid w:val="00D444DE"/>
    <w:rsid w:val="00D460FE"/>
    <w:rsid w:val="00D61F5A"/>
    <w:rsid w:val="00D766E8"/>
    <w:rsid w:val="00D80962"/>
    <w:rsid w:val="00DB3443"/>
    <w:rsid w:val="00DD55F3"/>
    <w:rsid w:val="00DE2794"/>
    <w:rsid w:val="00E4015C"/>
    <w:rsid w:val="00E47D7A"/>
    <w:rsid w:val="00E514E0"/>
    <w:rsid w:val="00E532DE"/>
    <w:rsid w:val="00E63ACA"/>
    <w:rsid w:val="00E85B7A"/>
    <w:rsid w:val="00EA3974"/>
    <w:rsid w:val="00EC1E71"/>
    <w:rsid w:val="00EE654A"/>
    <w:rsid w:val="00EF35FF"/>
    <w:rsid w:val="00F05EEF"/>
    <w:rsid w:val="00F45745"/>
    <w:rsid w:val="00F75FAF"/>
    <w:rsid w:val="00F773FA"/>
    <w:rsid w:val="00F8195A"/>
    <w:rsid w:val="00F95F80"/>
    <w:rsid w:val="00FC2287"/>
    <w:rsid w:val="00FC2F96"/>
    <w:rsid w:val="00FC6C35"/>
    <w:rsid w:val="00FF1DAE"/>
    <w:rsid w:val="00FF55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1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06"/>
    <w:rPr>
      <w:sz w:val="24"/>
      <w:szCs w:val="24"/>
    </w:rPr>
  </w:style>
  <w:style w:type="paragraph" w:styleId="Heading1">
    <w:name w:val="heading 1"/>
    <w:basedOn w:val="Normal"/>
    <w:next w:val="Normal"/>
    <w:link w:val="Heading1Char"/>
    <w:uiPriority w:val="9"/>
    <w:qFormat/>
    <w:rsid w:val="00137C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07D0"/>
    <w:pPr>
      <w:ind w:left="720"/>
      <w:contextualSpacing/>
    </w:pPr>
  </w:style>
  <w:style w:type="paragraph" w:styleId="BalloonText">
    <w:name w:val="Balloon Text"/>
    <w:basedOn w:val="Normal"/>
    <w:link w:val="BalloonTextChar"/>
    <w:uiPriority w:val="99"/>
    <w:semiHidden/>
    <w:rsid w:val="0029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541"/>
    <w:rPr>
      <w:rFonts w:ascii="Lucida Grande" w:hAnsi="Lucida Grande" w:cs="Lucida Grande"/>
      <w:sz w:val="18"/>
    </w:rPr>
  </w:style>
  <w:style w:type="paragraph" w:styleId="NormalWeb">
    <w:name w:val="Normal (Web)"/>
    <w:basedOn w:val="Normal"/>
    <w:uiPriority w:val="99"/>
    <w:semiHidden/>
    <w:rsid w:val="001A5163"/>
    <w:pPr>
      <w:spacing w:before="100" w:beforeAutospacing="1" w:after="100" w:afterAutospacing="1"/>
    </w:pPr>
    <w:rPr>
      <w:rFonts w:ascii="Times" w:hAnsi="Times"/>
      <w:sz w:val="20"/>
      <w:szCs w:val="20"/>
      <w:lang w:val="en-GB"/>
    </w:rPr>
  </w:style>
  <w:style w:type="character" w:styleId="Strong">
    <w:name w:val="Strong"/>
    <w:basedOn w:val="DefaultParagraphFont"/>
    <w:uiPriority w:val="99"/>
    <w:qFormat/>
    <w:rsid w:val="001A5163"/>
    <w:rPr>
      <w:rFonts w:cs="Times New Roman"/>
      <w:b/>
      <w:bCs/>
    </w:rPr>
  </w:style>
  <w:style w:type="paragraph" w:styleId="Footer">
    <w:name w:val="footer"/>
    <w:basedOn w:val="Normal"/>
    <w:link w:val="FooterChar"/>
    <w:uiPriority w:val="99"/>
    <w:semiHidden/>
    <w:rsid w:val="00994614"/>
    <w:pPr>
      <w:tabs>
        <w:tab w:val="center" w:pos="4320"/>
        <w:tab w:val="right" w:pos="8640"/>
      </w:tabs>
    </w:pPr>
  </w:style>
  <w:style w:type="character" w:customStyle="1" w:styleId="FooterChar">
    <w:name w:val="Footer Char"/>
    <w:basedOn w:val="DefaultParagraphFont"/>
    <w:link w:val="Footer"/>
    <w:uiPriority w:val="99"/>
    <w:rsid w:val="00994614"/>
    <w:rPr>
      <w:rFonts w:cs="Times New Roman"/>
    </w:rPr>
  </w:style>
  <w:style w:type="character" w:styleId="PageNumber">
    <w:name w:val="page number"/>
    <w:basedOn w:val="DefaultParagraphFont"/>
    <w:uiPriority w:val="99"/>
    <w:semiHidden/>
    <w:rsid w:val="00994614"/>
    <w:rPr>
      <w:rFonts w:cs="Times New Roman"/>
    </w:rPr>
  </w:style>
  <w:style w:type="paragraph" w:styleId="FootnoteText">
    <w:name w:val="footnote text"/>
    <w:basedOn w:val="Normal"/>
    <w:link w:val="FootnoteTextChar"/>
    <w:uiPriority w:val="99"/>
    <w:semiHidden/>
    <w:rsid w:val="003E2F8A"/>
  </w:style>
  <w:style w:type="character" w:customStyle="1" w:styleId="FootnoteTextChar">
    <w:name w:val="Footnote Text Char"/>
    <w:basedOn w:val="DefaultParagraphFont"/>
    <w:link w:val="FootnoteText"/>
    <w:uiPriority w:val="99"/>
    <w:rsid w:val="003E2F8A"/>
    <w:rPr>
      <w:rFonts w:cs="Times New Roman"/>
    </w:rPr>
  </w:style>
  <w:style w:type="character" w:styleId="FootnoteReference">
    <w:name w:val="footnote reference"/>
    <w:basedOn w:val="DefaultParagraphFont"/>
    <w:uiPriority w:val="99"/>
    <w:semiHidden/>
    <w:rsid w:val="003E2F8A"/>
    <w:rPr>
      <w:rFonts w:cs="Times New Roman"/>
      <w:vertAlign w:val="superscript"/>
    </w:rPr>
  </w:style>
  <w:style w:type="table" w:styleId="TableGrid">
    <w:name w:val="Table Grid"/>
    <w:basedOn w:val="TableNormal"/>
    <w:uiPriority w:val="99"/>
    <w:rsid w:val="002F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21">
    <w:name w:val="List Table 4 - Accent 21"/>
    <w:uiPriority w:val="99"/>
    <w:rsid w:val="002F336D"/>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tblStylePr w:type="firstRow">
      <w:rPr>
        <w:rFonts w:cs="Times New Roman"/>
        <w:b/>
        <w:bCs/>
        <w:color w:val="FFFFFF"/>
        <w:shd w:val="clear" w:color="auto" w:fill="auto"/>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rFonts w:cs="Times New Roman"/>
        <w:b/>
        <w:bCs/>
        <w:shd w:val="clear" w:color="auto" w:fill="auto"/>
      </w:rPr>
      <w:tblPr/>
      <w:tcPr>
        <w:tcBorders>
          <w:top w:val="double" w:sz="4"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F2DBDB"/>
      </w:tcPr>
    </w:tblStylePr>
    <w:tblStylePr w:type="band1Horz">
      <w:rPr>
        <w:rFonts w:cs="Times New Roman"/>
        <w:shd w:val="clear" w:color="auto" w:fill="auto"/>
      </w:rPr>
      <w:tblPr/>
      <w:tcPr>
        <w:shd w:val="clear" w:color="auto" w:fill="F2DBDB"/>
      </w:tcPr>
    </w:tblStylePr>
  </w:style>
  <w:style w:type="table" w:customStyle="1" w:styleId="GridTable6Colorful-Accent21">
    <w:name w:val="Grid Table 6 Colorful - Accent 21"/>
    <w:uiPriority w:val="99"/>
    <w:rsid w:val="003A05F7"/>
    <w:rPr>
      <w:color w:val="943634"/>
      <w:lang w:val="en-GB" w:eastAsia="en-GB"/>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D99594"/>
        </w:tcBorders>
      </w:tcPr>
    </w:tblStylePr>
    <w:tblStylePr w:type="lastRow">
      <w:rPr>
        <w:rFonts w:cs="Times New Roman"/>
        <w:b/>
        <w:bCs/>
        <w:shd w:val="clear" w:color="auto" w:fill="auto"/>
      </w:rPr>
      <w:tblPr/>
      <w:tcPr>
        <w:tcBorders>
          <w:top w:val="double" w:sz="4"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F2DBDB"/>
      </w:tcPr>
    </w:tblStylePr>
    <w:tblStylePr w:type="band1Horz">
      <w:rPr>
        <w:rFonts w:cs="Times New Roman"/>
        <w:shd w:val="clear" w:color="auto" w:fill="auto"/>
      </w:rPr>
      <w:tblPr/>
      <w:tcPr>
        <w:shd w:val="clear" w:color="auto" w:fill="F2DBDB"/>
      </w:tcPr>
    </w:tblStylePr>
  </w:style>
  <w:style w:type="table" w:customStyle="1" w:styleId="GridTable1Light-Accent21">
    <w:name w:val="Grid Table 1 Light - Accent 21"/>
    <w:uiPriority w:val="99"/>
    <w:rsid w:val="003A05F7"/>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D99594"/>
        </w:tcBorders>
      </w:tcPr>
    </w:tblStylePr>
    <w:tblStylePr w:type="lastRow">
      <w:rPr>
        <w:rFonts w:cs="Times New Roman"/>
        <w:b/>
        <w:bCs/>
        <w:shd w:val="clear" w:color="auto" w:fill="auto"/>
      </w:rPr>
      <w:tblPr/>
      <w:tcPr>
        <w:tcBorders>
          <w:top w:val="double" w:sz="2"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style>
  <w:style w:type="character" w:customStyle="1" w:styleId="Heading1Char">
    <w:name w:val="Heading 1 Char"/>
    <w:basedOn w:val="DefaultParagraphFont"/>
    <w:link w:val="Heading1"/>
    <w:uiPriority w:val="9"/>
    <w:rsid w:val="00137C7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37C7F"/>
    <w:pPr>
      <w:spacing w:line="259" w:lineRule="auto"/>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06"/>
    <w:rPr>
      <w:sz w:val="24"/>
      <w:szCs w:val="24"/>
    </w:rPr>
  </w:style>
  <w:style w:type="paragraph" w:styleId="Heading1">
    <w:name w:val="heading 1"/>
    <w:basedOn w:val="Normal"/>
    <w:next w:val="Normal"/>
    <w:link w:val="Heading1Char"/>
    <w:uiPriority w:val="9"/>
    <w:qFormat/>
    <w:rsid w:val="00137C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07D0"/>
    <w:pPr>
      <w:ind w:left="720"/>
      <w:contextualSpacing/>
    </w:pPr>
  </w:style>
  <w:style w:type="paragraph" w:styleId="BalloonText">
    <w:name w:val="Balloon Text"/>
    <w:basedOn w:val="Normal"/>
    <w:link w:val="BalloonTextChar"/>
    <w:uiPriority w:val="99"/>
    <w:semiHidden/>
    <w:rsid w:val="0029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541"/>
    <w:rPr>
      <w:rFonts w:ascii="Lucida Grande" w:hAnsi="Lucida Grande" w:cs="Lucida Grande"/>
      <w:sz w:val="18"/>
    </w:rPr>
  </w:style>
  <w:style w:type="paragraph" w:styleId="NormalWeb">
    <w:name w:val="Normal (Web)"/>
    <w:basedOn w:val="Normal"/>
    <w:uiPriority w:val="99"/>
    <w:semiHidden/>
    <w:rsid w:val="001A5163"/>
    <w:pPr>
      <w:spacing w:before="100" w:beforeAutospacing="1" w:after="100" w:afterAutospacing="1"/>
    </w:pPr>
    <w:rPr>
      <w:rFonts w:ascii="Times" w:hAnsi="Times"/>
      <w:sz w:val="20"/>
      <w:szCs w:val="20"/>
      <w:lang w:val="en-GB"/>
    </w:rPr>
  </w:style>
  <w:style w:type="character" w:styleId="Strong">
    <w:name w:val="Strong"/>
    <w:basedOn w:val="DefaultParagraphFont"/>
    <w:uiPriority w:val="99"/>
    <w:qFormat/>
    <w:rsid w:val="001A5163"/>
    <w:rPr>
      <w:rFonts w:cs="Times New Roman"/>
      <w:b/>
      <w:bCs/>
    </w:rPr>
  </w:style>
  <w:style w:type="paragraph" w:styleId="Footer">
    <w:name w:val="footer"/>
    <w:basedOn w:val="Normal"/>
    <w:link w:val="FooterChar"/>
    <w:uiPriority w:val="99"/>
    <w:semiHidden/>
    <w:rsid w:val="00994614"/>
    <w:pPr>
      <w:tabs>
        <w:tab w:val="center" w:pos="4320"/>
        <w:tab w:val="right" w:pos="8640"/>
      </w:tabs>
    </w:pPr>
  </w:style>
  <w:style w:type="character" w:customStyle="1" w:styleId="FooterChar">
    <w:name w:val="Footer Char"/>
    <w:basedOn w:val="DefaultParagraphFont"/>
    <w:link w:val="Footer"/>
    <w:uiPriority w:val="99"/>
    <w:rsid w:val="00994614"/>
    <w:rPr>
      <w:rFonts w:cs="Times New Roman"/>
    </w:rPr>
  </w:style>
  <w:style w:type="character" w:styleId="PageNumber">
    <w:name w:val="page number"/>
    <w:basedOn w:val="DefaultParagraphFont"/>
    <w:uiPriority w:val="99"/>
    <w:semiHidden/>
    <w:rsid w:val="00994614"/>
    <w:rPr>
      <w:rFonts w:cs="Times New Roman"/>
    </w:rPr>
  </w:style>
  <w:style w:type="paragraph" w:styleId="FootnoteText">
    <w:name w:val="footnote text"/>
    <w:basedOn w:val="Normal"/>
    <w:link w:val="FootnoteTextChar"/>
    <w:uiPriority w:val="99"/>
    <w:semiHidden/>
    <w:rsid w:val="003E2F8A"/>
  </w:style>
  <w:style w:type="character" w:customStyle="1" w:styleId="FootnoteTextChar">
    <w:name w:val="Footnote Text Char"/>
    <w:basedOn w:val="DefaultParagraphFont"/>
    <w:link w:val="FootnoteText"/>
    <w:uiPriority w:val="99"/>
    <w:rsid w:val="003E2F8A"/>
    <w:rPr>
      <w:rFonts w:cs="Times New Roman"/>
    </w:rPr>
  </w:style>
  <w:style w:type="character" w:styleId="FootnoteReference">
    <w:name w:val="footnote reference"/>
    <w:basedOn w:val="DefaultParagraphFont"/>
    <w:uiPriority w:val="99"/>
    <w:semiHidden/>
    <w:rsid w:val="003E2F8A"/>
    <w:rPr>
      <w:rFonts w:cs="Times New Roman"/>
      <w:vertAlign w:val="superscript"/>
    </w:rPr>
  </w:style>
  <w:style w:type="table" w:styleId="TableGrid">
    <w:name w:val="Table Grid"/>
    <w:basedOn w:val="TableNormal"/>
    <w:uiPriority w:val="99"/>
    <w:rsid w:val="002F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21">
    <w:name w:val="List Table 4 - Accent 21"/>
    <w:uiPriority w:val="99"/>
    <w:rsid w:val="002F336D"/>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tblStylePr w:type="firstRow">
      <w:rPr>
        <w:rFonts w:cs="Times New Roman"/>
        <w:b/>
        <w:bCs/>
        <w:color w:val="FFFFFF"/>
        <w:shd w:val="clear" w:color="auto" w:fill="auto"/>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rFonts w:cs="Times New Roman"/>
        <w:b/>
        <w:bCs/>
        <w:shd w:val="clear" w:color="auto" w:fill="auto"/>
      </w:rPr>
      <w:tblPr/>
      <w:tcPr>
        <w:tcBorders>
          <w:top w:val="double" w:sz="4"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F2DBDB"/>
      </w:tcPr>
    </w:tblStylePr>
    <w:tblStylePr w:type="band1Horz">
      <w:rPr>
        <w:rFonts w:cs="Times New Roman"/>
        <w:shd w:val="clear" w:color="auto" w:fill="auto"/>
      </w:rPr>
      <w:tblPr/>
      <w:tcPr>
        <w:shd w:val="clear" w:color="auto" w:fill="F2DBDB"/>
      </w:tcPr>
    </w:tblStylePr>
  </w:style>
  <w:style w:type="table" w:customStyle="1" w:styleId="GridTable6Colorful-Accent21">
    <w:name w:val="Grid Table 6 Colorful - Accent 21"/>
    <w:uiPriority w:val="99"/>
    <w:rsid w:val="003A05F7"/>
    <w:rPr>
      <w:color w:val="943634"/>
      <w:lang w:val="en-GB" w:eastAsia="en-GB"/>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D99594"/>
        </w:tcBorders>
      </w:tcPr>
    </w:tblStylePr>
    <w:tblStylePr w:type="lastRow">
      <w:rPr>
        <w:rFonts w:cs="Times New Roman"/>
        <w:b/>
        <w:bCs/>
        <w:shd w:val="clear" w:color="auto" w:fill="auto"/>
      </w:rPr>
      <w:tblPr/>
      <w:tcPr>
        <w:tcBorders>
          <w:top w:val="double" w:sz="4"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F2DBDB"/>
      </w:tcPr>
    </w:tblStylePr>
    <w:tblStylePr w:type="band1Horz">
      <w:rPr>
        <w:rFonts w:cs="Times New Roman"/>
        <w:shd w:val="clear" w:color="auto" w:fill="auto"/>
      </w:rPr>
      <w:tblPr/>
      <w:tcPr>
        <w:shd w:val="clear" w:color="auto" w:fill="F2DBDB"/>
      </w:tcPr>
    </w:tblStylePr>
  </w:style>
  <w:style w:type="table" w:customStyle="1" w:styleId="GridTable1Light-Accent21">
    <w:name w:val="Grid Table 1 Light - Accent 21"/>
    <w:uiPriority w:val="99"/>
    <w:rsid w:val="003A05F7"/>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D99594"/>
        </w:tcBorders>
      </w:tcPr>
    </w:tblStylePr>
    <w:tblStylePr w:type="lastRow">
      <w:rPr>
        <w:rFonts w:cs="Times New Roman"/>
        <w:b/>
        <w:bCs/>
        <w:shd w:val="clear" w:color="auto" w:fill="auto"/>
      </w:rPr>
      <w:tblPr/>
      <w:tcPr>
        <w:tcBorders>
          <w:top w:val="double" w:sz="2"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style>
  <w:style w:type="character" w:customStyle="1" w:styleId="Heading1Char">
    <w:name w:val="Heading 1 Char"/>
    <w:basedOn w:val="DefaultParagraphFont"/>
    <w:link w:val="Heading1"/>
    <w:uiPriority w:val="9"/>
    <w:rsid w:val="00137C7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37C7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3329-A44D-2041-9512-A95ECB7D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4938</Words>
  <Characters>28153</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Discussion Paper</vt:lpstr>
    </vt:vector>
  </TitlesOfParts>
  <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subject/>
  <dc:creator>John Gillman</dc:creator>
  <cp:keywords/>
  <cp:lastModifiedBy>John Gillman</cp:lastModifiedBy>
  <cp:revision>2</cp:revision>
  <cp:lastPrinted>2015-05-12T09:56:00Z</cp:lastPrinted>
  <dcterms:created xsi:type="dcterms:W3CDTF">2015-06-25T09:39:00Z</dcterms:created>
  <dcterms:modified xsi:type="dcterms:W3CDTF">2015-06-25T09:39:00Z</dcterms:modified>
</cp:coreProperties>
</file>